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Lecturexx</w:t>
      </w:r>
    </w:p>
    <w:p>
      <w:pPr>
        <w:pStyle w:val="Subtitle"/>
      </w:pPr>
      <w:r>
        <w:t xml:space="preserve">Content</w:t>
      </w:r>
      <w:r>
        <w:t xml:space="preserve"> </w:t>
      </w:r>
      <w:r>
        <w:t xml:space="preserve">Pending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31</w:t>
      </w:r>
      <w:r>
        <w:t xml:space="preserve"> </w:t>
      </w:r>
      <w:r>
        <w:t xml:space="preserve">January,</w:t>
      </w:r>
      <w:r>
        <w:t xml:space="preserve"> </w:t>
      </w:r>
      <w:r>
        <w:t xml:space="preserve">2022</w:t>
      </w:r>
    </w:p>
    <w:bookmarkStart w:id="38" w:name="induction-overview"/>
    <w:p>
      <w:pPr>
        <w:pStyle w:val="Heading1"/>
      </w:pPr>
      <w:r>
        <w:t xml:space="preserve">Induction Overview</w:t>
      </w:r>
    </w:p>
    <w:bookmarkStart w:id="20" w:name="X3ae536ff1d388f5f3007ed98cdc4041b4050346"/>
    <w:p>
      <w:pPr>
        <w:pStyle w:val="Heading2"/>
      </w:pPr>
      <w:r>
        <w:t xml:space="preserve">Welcome back and welcome to Research Methods!</w:t>
      </w:r>
    </w:p>
    <w:bookmarkEnd w:id="20"/>
    <w:bookmarkStart w:id="21" w:name="this-year-you-become-scientists"/>
    <w:p>
      <w:pPr>
        <w:pStyle w:val="Heading2"/>
      </w:pPr>
      <w:r>
        <w:t xml:space="preserve">This year you become Scientists!</w:t>
      </w:r>
    </w:p>
    <w:p>
      <w:pPr>
        <w:pStyle w:val="FirstParagraph"/>
      </w:pPr>
      <w:r>
        <w:t xml:space="preserve">This year, in Research Methods, you will perform your first piece of REAL psychological research</w:t>
      </w:r>
    </w:p>
    <w:p>
      <w:pPr>
        <w:pStyle w:val="BodyText"/>
      </w:pPr>
      <w:r>
        <w:t xml:space="preserve">In groups, you will:</w:t>
      </w:r>
    </w:p>
    <w:p>
      <w:pPr>
        <w:numPr>
          <w:ilvl w:val="0"/>
          <w:numId w:val="1001"/>
        </w:numPr>
        <w:pStyle w:val="Compact"/>
      </w:pPr>
      <w:r>
        <w:t xml:space="preserve">Identify an area of psychological research</w:t>
      </w:r>
    </w:p>
    <w:p>
      <w:pPr>
        <w:numPr>
          <w:ilvl w:val="0"/>
          <w:numId w:val="1001"/>
        </w:numPr>
        <w:pStyle w:val="Compact"/>
      </w:pPr>
      <w:r>
        <w:t xml:space="preserve">Review and critique the literature in this area</w:t>
      </w:r>
    </w:p>
    <w:p>
      <w:pPr>
        <w:numPr>
          <w:ilvl w:val="0"/>
          <w:numId w:val="1001"/>
        </w:numPr>
        <w:pStyle w:val="Compact"/>
      </w:pPr>
      <w:r>
        <w:t xml:space="preserve">Develop a testable hypothesis</w:t>
      </w:r>
    </w:p>
    <w:p>
      <w:pPr>
        <w:numPr>
          <w:ilvl w:val="0"/>
          <w:numId w:val="1001"/>
        </w:numPr>
        <w:pStyle w:val="Compact"/>
      </w:pPr>
      <w:r>
        <w:t xml:space="preserve">Design a 2x2 ANOVA experiment unique to you (within your group study)</w:t>
      </w:r>
    </w:p>
    <w:p>
      <w:pPr>
        <w:numPr>
          <w:ilvl w:val="0"/>
          <w:numId w:val="1001"/>
        </w:numPr>
        <w:pStyle w:val="Compact"/>
      </w:pPr>
      <w:r>
        <w:t xml:space="preserve">Obtain Ethical Approval for your experiment</w:t>
      </w:r>
    </w:p>
    <w:p>
      <w:pPr>
        <w:numPr>
          <w:ilvl w:val="0"/>
          <w:numId w:val="1001"/>
        </w:numPr>
        <w:pStyle w:val="Compact"/>
      </w:pPr>
      <w:r>
        <w:t xml:space="preserve">Collect REAL data</w:t>
      </w:r>
    </w:p>
    <w:p>
      <w:pPr>
        <w:numPr>
          <w:ilvl w:val="0"/>
          <w:numId w:val="1001"/>
        </w:numPr>
        <w:pStyle w:val="Compact"/>
      </w:pPr>
      <w:r>
        <w:t xml:space="preserve">Analyse these data</w:t>
      </w:r>
    </w:p>
    <w:p>
      <w:pPr>
        <w:numPr>
          <w:ilvl w:val="0"/>
          <w:numId w:val="1001"/>
        </w:numPr>
        <w:pStyle w:val="Compact"/>
      </w:pPr>
      <w:r>
        <w:t xml:space="preserve">Write up the results in APA format</w:t>
      </w:r>
    </w:p>
    <w:bookmarkEnd w:id="21"/>
    <w:bookmarkStart w:id="22" w:name="X21925b3dfe72049d3533ef3011e69830f319247"/>
    <w:p>
      <w:pPr>
        <w:pStyle w:val="Heading2"/>
      </w:pPr>
      <w:r>
        <w:t xml:space="preserve">A full overview will be given in the first lecture!</w:t>
      </w:r>
    </w:p>
    <w:p>
      <w:pPr>
        <w:pStyle w:val="FirstParagraph"/>
      </w:pPr>
      <w:r>
        <w:t xml:space="preserve">Do not worry! It’s going to be a great adventure!</w:t>
      </w:r>
    </w:p>
    <w:bookmarkEnd w:id="22"/>
    <w:bookmarkStart w:id="23" w:name="a-warm-up-for-your-y3-dissertation"/>
    <w:p>
      <w:pPr>
        <w:pStyle w:val="Heading2"/>
      </w:pPr>
      <w:r>
        <w:t xml:space="preserve">A</w:t>
      </w:r>
      <w:r>
        <w:t xml:space="preserve"> </w:t>
      </w:r>
      <w:r>
        <w:t xml:space="preserve">‘</w:t>
      </w:r>
      <w:r>
        <w:t xml:space="preserve">warm up</w:t>
      </w:r>
      <w:r>
        <w:t xml:space="preserve">’</w:t>
      </w:r>
      <w:r>
        <w:t xml:space="preserve"> </w:t>
      </w:r>
      <w:r>
        <w:t xml:space="preserve">for your Y3 Dissertation</w:t>
      </w:r>
    </w:p>
    <w:p>
      <w:pPr>
        <w:numPr>
          <w:ilvl w:val="0"/>
          <w:numId w:val="1002"/>
        </w:numPr>
        <w:pStyle w:val="Compact"/>
      </w:pPr>
      <w:r>
        <w:t xml:space="preserve">The same 20-week timeline</w:t>
      </w:r>
    </w:p>
    <w:p>
      <w:pPr>
        <w:numPr>
          <w:ilvl w:val="0"/>
          <w:numId w:val="1002"/>
        </w:numPr>
        <w:pStyle w:val="Compact"/>
      </w:pPr>
      <w:r>
        <w:t xml:space="preserve">The same skills and techniques you will need</w:t>
      </w:r>
    </w:p>
    <w:p>
      <w:pPr>
        <w:numPr>
          <w:ilvl w:val="0"/>
          <w:numId w:val="1002"/>
        </w:numPr>
        <w:pStyle w:val="Compact"/>
      </w:pPr>
      <w:r>
        <w:t xml:space="preserve">Careful step-by-step guidance and support in the lab setting</w:t>
      </w:r>
    </w:p>
    <w:p>
      <w:pPr>
        <w:numPr>
          <w:ilvl w:val="0"/>
          <w:numId w:val="1002"/>
        </w:numPr>
        <w:pStyle w:val="Compact"/>
      </w:pPr>
      <w:r>
        <w:t xml:space="preserve">Scaled-down experiments and write-ups</w:t>
      </w:r>
    </w:p>
    <w:p>
      <w:pPr>
        <w:numPr>
          <w:ilvl w:val="0"/>
          <w:numId w:val="1002"/>
        </w:numPr>
        <w:pStyle w:val="Compact"/>
      </w:pPr>
      <w:r>
        <w:t xml:space="preserve">The security of working in a group</w:t>
      </w:r>
    </w:p>
    <w:p>
      <w:pPr>
        <w:numPr>
          <w:ilvl w:val="0"/>
          <w:numId w:val="1002"/>
        </w:numPr>
        <w:pStyle w:val="Compact"/>
      </w:pPr>
      <w:r>
        <w:t xml:space="preserve">Tips and advice from world-class researchers</w:t>
      </w:r>
    </w:p>
    <w:p>
      <w:pPr>
        <w:numPr>
          <w:ilvl w:val="0"/>
          <w:numId w:val="1002"/>
        </w:numPr>
        <w:pStyle w:val="Compact"/>
      </w:pPr>
      <w:r>
        <w:t xml:space="preserve">Opportunity to think carefully about your final year Dissertation, and how to crush it!!</w:t>
      </w:r>
    </w:p>
    <w:bookmarkEnd w:id="23"/>
    <w:bookmarkStart w:id="24" w:name="support-and-guidance"/>
    <w:p>
      <w:pPr>
        <w:pStyle w:val="Heading2"/>
      </w:pPr>
      <w:r>
        <w:t xml:space="preserve">Support and guidance</w:t>
      </w:r>
    </w:p>
    <w:p>
      <w:pPr>
        <w:numPr>
          <w:ilvl w:val="0"/>
          <w:numId w:val="1003"/>
        </w:numPr>
        <w:pStyle w:val="Compact"/>
      </w:pPr>
      <w:r>
        <w:t xml:space="preserve">Gordon Wright (Module Coordinator and floating Enthusiast in Chief)</w:t>
      </w:r>
    </w:p>
    <w:p>
      <w:pPr>
        <w:numPr>
          <w:ilvl w:val="0"/>
          <w:numId w:val="1003"/>
        </w:numPr>
        <w:pStyle w:val="Compact"/>
      </w:pPr>
      <w:r>
        <w:t xml:space="preserve">7 gobsmackingly amazing Lab Tutors</w:t>
      </w:r>
    </w:p>
    <w:p>
      <w:pPr>
        <w:numPr>
          <w:ilvl w:val="0"/>
          <w:numId w:val="1003"/>
        </w:numPr>
        <w:pStyle w:val="Compact"/>
      </w:pPr>
      <w:r>
        <w:t xml:space="preserve">Your Personal Tutor and your PT group</w:t>
      </w:r>
    </w:p>
    <w:p>
      <w:pPr>
        <w:numPr>
          <w:ilvl w:val="0"/>
          <w:numId w:val="1003"/>
        </w:numPr>
        <w:pStyle w:val="Compact"/>
      </w:pPr>
      <w:r>
        <w:t xml:space="preserve">AND EACH OTHER!!</w:t>
      </w:r>
    </w:p>
    <w:p>
      <w:pPr>
        <w:pStyle w:val="FirstParagraph"/>
      </w:pPr>
      <w:r>
        <w:t xml:space="preserve">This is a team-sport</w:t>
      </w:r>
    </w:p>
    <w:bookmarkEnd w:id="24"/>
    <w:bookmarkStart w:id="25" w:name="me"/>
    <w:p>
      <w:pPr>
        <w:pStyle w:val="Heading2"/>
      </w:pPr>
      <w:r>
        <w:t xml:space="preserve">me</w:t>
      </w:r>
    </w:p>
    <w:p>
      <w:pPr>
        <w:pStyle w:val="FirstParagraph"/>
      </w:pPr>
      <w:r>
        <w:t xml:space="preserve">I will be in every Research Methods lecture and I have a Student Hour from 3-4 every Monday, before we all go to the Design &amp; Analysis lecture. Yup! Me too!</w:t>
      </w:r>
    </w:p>
    <w:p>
      <w:pPr>
        <w:pStyle w:val="BodyText"/>
      </w:pPr>
      <w:r>
        <w:t xml:space="preserve">Available at g.wright@gold.ac.uk</w:t>
      </w:r>
    </w:p>
    <w:p>
      <w:pPr>
        <w:pStyle w:val="BodyText"/>
      </w:pPr>
      <w:r>
        <w:t xml:space="preserve">I genuinely could not imagine anything I would rather do that this. Please talk to me!</w:t>
      </w:r>
    </w:p>
    <w:bookmarkEnd w:id="25"/>
    <w:bookmarkStart w:id="26" w:name="module-weighting-and-assessment"/>
    <w:p>
      <w:pPr>
        <w:pStyle w:val="Heading2"/>
      </w:pPr>
      <w:r>
        <w:t xml:space="preserve">Module weighting and assessment</w:t>
      </w:r>
    </w:p>
    <w:p>
      <w:pPr>
        <w:pStyle w:val="FirstParagraph"/>
      </w:pPr>
      <w:r>
        <w:t xml:space="preserve">Research Methods is a core module with a 30 credit weighting</w:t>
      </w:r>
    </w:p>
    <w:p>
      <w:pPr>
        <w:pStyle w:val="BodyText"/>
      </w:pPr>
      <w:r>
        <w:t xml:space="preserve">This means that in order to progress to Y3, you must pass all 3 assessment elements:</w:t>
      </w:r>
    </w:p>
    <w:p>
      <w:pPr>
        <w:numPr>
          <w:ilvl w:val="1"/>
          <w:numId w:val="1005"/>
        </w:numPr>
      </w:pPr>
      <w:r>
        <w:t xml:space="preserve">Critical Proposal 1,800 words (15%)</w:t>
      </w:r>
    </w:p>
    <w:p>
      <w:pPr>
        <w:numPr>
          <w:ilvl w:val="1"/>
          <w:numId w:val="1005"/>
        </w:numPr>
      </w:pPr>
      <w:r>
        <w:t xml:space="preserve">Mini-Dissertation 2,500 words (70%)</w:t>
      </w:r>
    </w:p>
    <w:p>
      <w:pPr>
        <w:numPr>
          <w:ilvl w:val="1"/>
          <w:numId w:val="1005"/>
        </w:numPr>
      </w:pPr>
      <w:r>
        <w:t xml:space="preserve">CHIP Learning Log 1,200 words (15%)</w:t>
      </w:r>
    </w:p>
    <w:bookmarkEnd w:id="26"/>
    <w:bookmarkStart w:id="30" w:name="a-friendly-warning"/>
    <w:p>
      <w:pPr>
        <w:pStyle w:val="Heading2"/>
      </w:pPr>
      <w:r>
        <w:t xml:space="preserve">A friendly warning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EB9113"/>
          <w:right w:val="single" w:sz="4" w:space="0" w:color="EB9113"/>
          <w:top w:val="single" w:sz="4" w:space="0" w:color="EB9113"/>
          <w:bottom w:val="single" w:sz="4" w:space="0" w:color="EB9113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Warning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All coursework is</w:t>
            </w:r>
            <w:r>
              <w:t xml:space="preserve"> </w:t>
            </w:r>
            <w:r>
              <w:t xml:space="preserve">INDIVIDUAL</w:t>
            </w:r>
            <w:r>
              <w:t xml:space="preserve"> </w:t>
            </w:r>
            <w:r>
              <w:t xml:space="preserve">and subject to normal plagiarism and collusion rules</w:t>
            </w:r>
          </w:p>
        </w:tc>
      </w:tr>
    </w:tbl>
    <w:bookmarkEnd w:id="30"/>
    <w:bookmarkStart w:id="31" w:name="module-structure"/>
    <w:p>
      <w:pPr>
        <w:pStyle w:val="Heading2"/>
      </w:pPr>
      <w:r>
        <w:t xml:space="preserve">Module structure</w:t>
      </w:r>
    </w:p>
    <w:p>
      <w:pPr>
        <w:pStyle w:val="FirstParagraph"/>
      </w:pPr>
      <w:r>
        <w:t xml:space="preserve">1 x 1 hr Lecture per week (Monday)</w:t>
      </w:r>
    </w:p>
    <w:p>
      <w:pPr>
        <w:pStyle w:val="BodyText"/>
      </w:pPr>
      <w:r>
        <w:t xml:space="preserve">1 x 2 hr Lab per week (Tuesday)</w:t>
      </w:r>
    </w:p>
    <w:p>
      <w:pPr>
        <w:pStyle w:val="BodyText"/>
      </w:pPr>
      <w:r>
        <w:t xml:space="preserve">4 x Personal Tutor meetings across the year</w:t>
      </w:r>
    </w:p>
    <w:bookmarkEnd w:id="31"/>
    <w:bookmarkStart w:id="32" w:name="weekly-structure"/>
    <w:p>
      <w:pPr>
        <w:pStyle w:val="Heading2"/>
      </w:pPr>
      <w:r>
        <w:t xml:space="preserve">Weekly Structure</w:t>
      </w:r>
    </w:p>
    <w:p>
      <w:pPr>
        <w:pStyle w:val="FirstParagraph"/>
      </w:pPr>
      <w:r>
        <w:t xml:space="preserve">Each week there will be a very brief</w:t>
      </w:r>
      <w:r>
        <w:t xml:space="preserve"> </w:t>
      </w:r>
      <w:r>
        <w:t xml:space="preserve">‘</w:t>
      </w:r>
      <w:r>
        <w:rPr>
          <w:bCs/>
          <w:b/>
        </w:rPr>
        <w:t xml:space="preserve">Prelude</w:t>
      </w:r>
      <w:r>
        <w:t xml:space="preserve">’</w:t>
      </w:r>
      <w:r>
        <w:t xml:space="preserve"> </w:t>
      </w:r>
      <w:r>
        <w:t xml:space="preserve">designed to introduce one of the main topics of the week</w:t>
      </w:r>
    </w:p>
    <w:p>
      <w:pPr>
        <w:pStyle w:val="BodyText"/>
      </w:pPr>
      <w:r>
        <w:rPr>
          <w:bCs/>
          <w:b/>
        </w:rPr>
        <w:t xml:space="preserve">Lecture</w:t>
      </w:r>
      <w:r>
        <w:t xml:space="preserve"> </w:t>
      </w:r>
      <w:r>
        <w:t xml:space="preserve">(slides and recording posted afterwards)</w:t>
      </w:r>
    </w:p>
    <w:p>
      <w:pPr>
        <w:pStyle w:val="BodyText"/>
      </w:pPr>
      <w:r>
        <w:rPr>
          <w:bCs/>
          <w:b/>
        </w:rPr>
        <w:t xml:space="preserve">Lab Activity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‘</w:t>
      </w:r>
      <w:r>
        <w:rPr>
          <w:bCs/>
          <w:b/>
        </w:rPr>
        <w:t xml:space="preserve">Pulse</w:t>
      </w:r>
      <w:r>
        <w:rPr>
          <w:bCs/>
          <w:b/>
        </w:rPr>
        <w:t xml:space="preserve">’</w:t>
      </w:r>
      <w:r>
        <w:t xml:space="preserve"> </w:t>
      </w:r>
      <w:r>
        <w:t xml:space="preserve">taken on entry - 2 minute quiz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Lab Notebook</w:t>
      </w:r>
      <w:r>
        <w:t xml:space="preserve"> </w:t>
      </w:r>
      <w:r>
        <w:t xml:space="preserve">with brief</w:t>
      </w:r>
      <w:r>
        <w:t xml:space="preserve"> </w:t>
      </w:r>
      <w:r>
        <w:t xml:space="preserve">‘</w:t>
      </w:r>
      <w:r>
        <w:t xml:space="preserve">generative activities</w:t>
      </w:r>
      <w:r>
        <w:t xml:space="preserve">’</w:t>
      </w:r>
      <w:r>
        <w:t xml:space="preserve"> </w:t>
      </w:r>
      <w:r>
        <w:t xml:space="preserve">and opportunities for metacognitive reflection</w:t>
      </w:r>
    </w:p>
    <w:p>
      <w:pPr>
        <w:numPr>
          <w:ilvl w:val="0"/>
          <w:numId w:val="1006"/>
        </w:numPr>
        <w:pStyle w:val="Compact"/>
      </w:pPr>
      <w:r>
        <w:t xml:space="preserve">Extras provided around skills or applications or just interesting factoids</w:t>
      </w:r>
    </w:p>
    <w:p>
      <w:pPr>
        <w:numPr>
          <w:ilvl w:val="0"/>
          <w:numId w:val="1006"/>
        </w:numPr>
        <w:pStyle w:val="Compact"/>
      </w:pPr>
      <w:r>
        <w:t xml:space="preserve">Lots can be achieved in the labs, but independent study and coordinated group work will be required</w:t>
      </w:r>
    </w:p>
    <w:p>
      <w:pPr>
        <w:pStyle w:val="FirstParagraph"/>
      </w:pPr>
      <w:r>
        <w:t xml:space="preserve">NO EXAM</w:t>
      </w:r>
    </w:p>
    <w:bookmarkEnd w:id="32"/>
    <w:bookmarkStart w:id="33" w:name="coursework"/>
    <w:p>
      <w:pPr>
        <w:pStyle w:val="Heading2"/>
      </w:pPr>
      <w:r>
        <w:t xml:space="preserve">Coursework</w:t>
      </w:r>
    </w:p>
    <w:p>
      <w:pPr>
        <w:pStyle w:val="FirstParagraph"/>
      </w:pPr>
      <w:r>
        <w:t xml:space="preserve">The courseworks ALL require critical reflection and metacognitive practice. This will be discussed in a number of lectures, but it contributes to effective learning and your integration of the skills and experience of doing this research exercise.</w:t>
      </w:r>
    </w:p>
    <w:bookmarkEnd w:id="33"/>
    <w:bookmarkStart w:id="34" w:name="time-management-and-teamwork"/>
    <w:p>
      <w:pPr>
        <w:pStyle w:val="Heading2"/>
      </w:pPr>
      <w:r>
        <w:t xml:space="preserve">Time management and teamwork</w:t>
      </w:r>
    </w:p>
    <w:p>
      <w:pPr>
        <w:pStyle w:val="FirstParagraph"/>
      </w:pPr>
      <w:r>
        <w:t xml:space="preserve">..will both be required.</w:t>
      </w:r>
    </w:p>
    <w:p>
      <w:pPr>
        <w:pStyle w:val="BodyText"/>
      </w:pPr>
      <w:r>
        <w:t xml:space="preserve">I ask you to see both as an opportunity to develop these important skills.</w:t>
      </w:r>
    </w:p>
    <w:p>
      <w:pPr>
        <w:pStyle w:val="BodyText"/>
      </w:pPr>
      <w:r>
        <w:t xml:space="preserve">You will see we have some ideas to make this more relevant to careers and employability</w:t>
      </w:r>
    </w:p>
    <w:p>
      <w:pPr>
        <w:pStyle w:val="BodyText"/>
      </w:pPr>
      <w:r>
        <w:t xml:space="preserve">It is easier to</w:t>
      </w:r>
      <w:r>
        <w:t xml:space="preserve"> </w:t>
      </w:r>
      <w:r>
        <w:t xml:space="preserve">‘</w:t>
      </w:r>
      <w:r>
        <w:t xml:space="preserve">keep up than to catch up</w:t>
      </w:r>
      <w:r>
        <w:t xml:space="preserve">’</w:t>
      </w:r>
      <w:r>
        <w:t xml:space="preserve">.</w:t>
      </w:r>
    </w:p>
    <w:bookmarkEnd w:id="34"/>
    <w:bookmarkStart w:id="35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will be releasing a series of valuable resources to help you through every step of the process</w:t>
      </w:r>
    </w:p>
    <w:p>
      <w:pPr>
        <w:pStyle w:val="BodyText"/>
      </w:pPr>
      <w:r>
        <w:t xml:space="preserve">These will have value for your final year dissertation too.</w:t>
      </w:r>
    </w:p>
    <w:p>
      <w:pPr>
        <w:pStyle w:val="BodyText"/>
      </w:pPr>
      <w:r>
        <w:t xml:space="preserve">Contribution to and comment on these is welcome and hoped for!</w:t>
      </w:r>
    </w:p>
    <w:p>
      <w:pPr>
        <w:pStyle w:val="BodyText"/>
      </w:pPr>
      <w:r>
        <w:t xml:space="preserve">Open Educational Resources will be used extensively, and most core readings are available online via the library.</w:t>
      </w:r>
    </w:p>
    <w:bookmarkEnd w:id="35"/>
    <w:bookmarkStart w:id="36" w:name="prelude-1"/>
    <w:p>
      <w:pPr>
        <w:pStyle w:val="Heading2"/>
      </w:pPr>
      <w:r>
        <w:t xml:space="preserve">Prelude 1</w:t>
      </w:r>
    </w:p>
    <w:p>
      <w:pPr>
        <w:pStyle w:val="FirstParagraph"/>
      </w:pPr>
      <w:r>
        <w:t xml:space="preserve">We are starting off very easy. A short questionnaire to allow us to get to know you a little better, which we will use to develop the first lecture, and the course more generally.</w:t>
      </w:r>
    </w:p>
    <w:bookmarkEnd w:id="36"/>
    <w:bookmarkStart w:id="37" w:name="thank-you-for-your-time"/>
    <w:p>
      <w:pPr>
        <w:pStyle w:val="Heading2"/>
      </w:pPr>
      <w:r>
        <w:t xml:space="preserve">Thank you for your time</w:t>
      </w:r>
    </w:p>
    <w:p>
      <w:pPr>
        <w:pStyle w:val="FirstParagraph"/>
      </w:pPr>
      <w:r>
        <w:t xml:space="preserve">And have an amazing year!</w:t>
      </w:r>
    </w:p>
    <w:p>
      <w:pPr>
        <w:pStyle w:val="BodyText"/>
      </w:pPr>
      <w:r>
        <w:t xml:space="preserve">The Research Methods Team</w:t>
      </w:r>
    </w:p>
    <w:bookmarkEnd w:id="37"/>
    <w:bookmarkEnd w:id="38"/>
    <w:sectPr w:rsidR="0088650E" w:rsidRPr="00E343F9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tkinson Hyperlegible">
    <w:panose1 w:val="00000000000000000000"/>
    <w:charset w:val="00"/>
    <w:family w:val="auto"/>
    <w:notTrueType/>
    <w:pitch w:val="variable"/>
    <w:sig w:usb0="00000027" w:usb1="00000000" w:usb2="00000000" w:usb3="00000000" w:csb0="00000083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DF66E58A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5F98E458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B4026960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F4EA5DD0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12906A7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cs="Symbol" w:hAnsi="Symbol" w:hint="default"/>
      </w:rPr>
    </w:lvl>
  </w:abstractNum>
  <w:abstractNum w15:restartNumberingAfterBreak="0" w:abstractNumId="5">
    <w:nsid w:val="FFFFFF81"/>
    <w:multiLevelType w:val="singleLevel"/>
    <w:tmpl w:val="EBD6FBB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F12A7248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6082D06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430E37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4AC067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FC5E68C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463625701" w:numId="1">
    <w:abstractNumId w:val="10"/>
  </w:num>
  <w:num w16cid:durableId="398986169" w:numId="2">
    <w:abstractNumId w:val="0"/>
  </w:num>
  <w:num w16cid:durableId="1447194981" w:numId="3">
    <w:abstractNumId w:val="1"/>
  </w:num>
  <w:num w16cid:durableId="1354303259" w:numId="4">
    <w:abstractNumId w:val="2"/>
  </w:num>
  <w:num w16cid:durableId="1099714785" w:numId="5">
    <w:abstractNumId w:val="3"/>
  </w:num>
  <w:num w16cid:durableId="1800102660" w:numId="6">
    <w:abstractNumId w:val="8"/>
  </w:num>
  <w:num w16cid:durableId="1079213627" w:numId="7">
    <w:abstractNumId w:val="4"/>
  </w:num>
  <w:num w16cid:durableId="2073961952" w:numId="8">
    <w:abstractNumId w:val="5"/>
  </w:num>
  <w:num w16cid:durableId="649210763" w:numId="9">
    <w:abstractNumId w:val="6"/>
  </w:num>
  <w:num w16cid:durableId="1063018244" w:numId="10">
    <w:abstractNumId w:val="7"/>
  </w:num>
  <w:num w16cid:durableId="184291971" w:numId="11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89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011855"/>
    <w:pPr>
      <w:spacing w:before="120"/>
    </w:pPr>
    <w:rPr>
      <w:rFonts w:ascii="Atkinson Hyperlegible" w:hAnsi="Atkinson Hyperlegible"/>
    </w:rPr>
  </w:style>
  <w:style w:styleId="Heading1" w:type="paragraph">
    <w:name w:val="heading 1"/>
    <w:basedOn w:val="Normal"/>
    <w:next w:val="BodyText"/>
    <w:uiPriority w:val="9"/>
    <w:qFormat/>
    <w:rsid w:val="000E3EAF"/>
    <w:pPr>
      <w:keepNext/>
      <w:keepLines/>
      <w:pBdr>
        <w:top w:color="auto" w:space="1" w:sz="4" w:val="single"/>
        <w:left w:color="auto" w:space="4" w:sz="4" w:val="single"/>
        <w:bottom w:color="auto" w:space="1" w:sz="4" w:val="single"/>
        <w:right w:color="auto" w:space="4" w:sz="4" w:val="single"/>
      </w:pBdr>
      <w:shd w:color="auto" w:fill="auto" w:val="pct15"/>
      <w:spacing w:after="0" w:before="480"/>
      <w:outlineLvl w:val="0"/>
    </w:pPr>
    <w:rPr>
      <w:rFonts w:cstheme="majorBidi" w:eastAsiaTheme="majorEastAsia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3E251B"/>
    <w:pPr>
      <w:keepNext/>
      <w:keepLines/>
      <w:pBdr>
        <w:top w:color="auto" w:space="4" w:sz="4" w:val="single"/>
      </w:pBdr>
      <w:spacing w:after="480" w:before="480"/>
      <w:contextualSpacing/>
      <w:jc w:val="center"/>
      <w:outlineLvl w:val="1"/>
    </w:pPr>
    <w:rPr>
      <w:rFonts w:cstheme="majorBidi" w:eastAsiaTheme="majorEastAsia"/>
      <w:b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accent1" w:val="4F81BD"/>
    </w:rPr>
  </w:style>
  <w:style w:styleId="Heading4" w:type="paragraph">
    <w:name w:val="heading 4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3"/>
    </w:pPr>
    <w:rPr>
      <w:rFonts w:cstheme="majorBidi" w:eastAsiaTheme="majorEastAsia"/>
      <w:bCs/>
      <w:i/>
      <w:color w:themeColor="accent1" w:val="4F81BD"/>
    </w:rPr>
  </w:style>
  <w:style w:styleId="Heading5" w:type="paragraph">
    <w:name w:val="heading 5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4"/>
    </w:pPr>
    <w:rPr>
      <w:rFonts w:cstheme="majorBidi" w:eastAsiaTheme="majorEastAsia"/>
      <w:iCs/>
      <w:color w:themeColor="accent1" w:val="4F81BD"/>
    </w:rPr>
  </w:style>
  <w:style w:styleId="Heading6" w:type="paragraph">
    <w:name w:val="heading 6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5"/>
    </w:pPr>
    <w:rPr>
      <w:rFonts w:cstheme="majorBidi" w:eastAsiaTheme="majorEastAsia"/>
      <w:color w:themeColor="accent1" w:val="4F81BD"/>
    </w:rPr>
  </w:style>
  <w:style w:styleId="Heading7" w:type="paragraph">
    <w:name w:val="heading 7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6"/>
    </w:pPr>
    <w:rPr>
      <w:rFonts w:cstheme="majorBidi" w:eastAsiaTheme="majorEastAsia"/>
      <w:color w:themeColor="accent1" w:val="4F81BD"/>
    </w:rPr>
  </w:style>
  <w:style w:styleId="Heading8" w:type="paragraph">
    <w:name w:val="heading 8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7"/>
    </w:pPr>
    <w:rPr>
      <w:rFonts w:cstheme="majorBidi" w:eastAsiaTheme="majorEastAsia"/>
      <w:color w:themeColor="accent1" w:val="4F81BD"/>
    </w:rPr>
  </w:style>
  <w:style w:styleId="Heading9" w:type="paragraph">
    <w:name w:val="heading 9"/>
    <w:basedOn w:val="Normal"/>
    <w:next w:val="BodyText"/>
    <w:uiPriority w:val="9"/>
    <w:unhideWhenUsed/>
    <w:qFormat/>
    <w:rsid w:val="00641073"/>
    <w:pPr>
      <w:keepNext/>
      <w:keepLines/>
      <w:spacing w:after="0" w:before="200"/>
      <w:outlineLvl w:val="8"/>
    </w:pPr>
    <w:rPr>
      <w:rFonts w:cstheme="majorBidi" w:eastAsiaTheme="majorEastAsia"/>
      <w:color w:themeColor="accent1" w:val="4F81B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641073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641073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6D2303"/>
    <w:pPr>
      <w:keepNext/>
      <w:keepLines/>
      <w:spacing w:after="240" w:before="480"/>
      <w:jc w:val="center"/>
    </w:pPr>
    <w:rPr>
      <w:rFonts w:cstheme="majorBidi" w:eastAsiaTheme="majorEastAsia"/>
      <w:b/>
      <w:bCs/>
      <w:color w:val="325B74"/>
      <w:sz w:val="36"/>
      <w:szCs w:val="36"/>
    </w:rPr>
  </w:style>
  <w:style w:styleId="Subtitle" w:type="paragraph">
    <w:name w:val="Subtitle"/>
    <w:basedOn w:val="Title"/>
    <w:next w:val="BodyText"/>
    <w:qFormat/>
    <w:rsid w:val="006D2303"/>
    <w:pPr>
      <w:spacing w:before="240"/>
    </w:pPr>
    <w:rPr>
      <w:i/>
      <w:sz w:val="30"/>
      <w:szCs w:val="30"/>
    </w:rPr>
  </w:style>
  <w:style w:customStyle="1" w:styleId="Author" w:type="paragraph">
    <w:name w:val="Author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styleId="Date" w:type="paragraph">
    <w:name w:val="Date"/>
    <w:next w:val="BodyText"/>
    <w:qFormat/>
    <w:rsid w:val="00641073"/>
    <w:pPr>
      <w:keepNext/>
      <w:keepLines/>
      <w:jc w:val="center"/>
    </w:pPr>
    <w:rPr>
      <w:rFonts w:ascii="Atkinson Hyperlegible" w:hAnsi="Atkinson Hyperlegible"/>
    </w:rPr>
  </w:style>
  <w:style w:customStyle="1" w:styleId="Abstract" w:type="paragraph">
    <w:name w:val="Abstract"/>
    <w:basedOn w:val="Normal"/>
    <w:next w:val="BodyText"/>
    <w:qFormat/>
    <w:rsid w:val="00641073"/>
    <w:pPr>
      <w:keepNext/>
      <w:keepLines/>
      <w:spacing w:after="300" w:before="300"/>
    </w:pPr>
    <w:rPr>
      <w:rFonts w:cs="Times New Roman (Body CS)"/>
      <w:sz w:val="20"/>
      <w:szCs w:val="20"/>
    </w:rPr>
  </w:style>
  <w:style w:styleId="Bibliography" w:type="paragraph">
    <w:name w:val="Bibliography"/>
    <w:basedOn w:val="Normal"/>
    <w:qFormat/>
    <w:rsid w:val="004C5413"/>
    <w:pPr>
      <w:ind w:hanging="510" w:left="510"/>
    </w:p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343F9"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E343F9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343F9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343F9"/>
    <w:pPr>
      <w:keepNext/>
    </w:pPr>
  </w:style>
  <w:style w:customStyle="1" w:styleId="ImageCaption" w:type="paragraph">
    <w:name w:val="Image Caption"/>
    <w:basedOn w:val="Caption"/>
    <w:rsid w:val="00E343F9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sid w:val="00E343F9"/>
    <w:rPr>
      <w:vertAlign w:val="superscript"/>
    </w:rPr>
  </w:style>
  <w:style w:styleId="Hyperlink" w:type="character">
    <w:name w:val="Hyperlink"/>
    <w:basedOn w:val="CaptionChar"/>
    <w:rsid w:val="00E343F9"/>
    <w:rPr>
      <w:rFonts w:ascii="Atkinson Hyperlegible" w:hAnsi="Atkinson Hyperlegible"/>
      <w:color w:val="0070C0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641073"/>
    <w:rPr>
      <w:color w:themeColor="followedHyperlink" w:val="800080"/>
      <w:u w:val="single"/>
    </w:rPr>
  </w:style>
  <w:style w:customStyle="1" w:styleId="BodyTextChar" w:type="character">
    <w:name w:val="Body Text Char"/>
    <w:basedOn w:val="DefaultParagraphFont"/>
    <w:link w:val="BodyText"/>
    <w:rsid w:val="00641073"/>
    <w:rPr>
      <w:rFonts w:ascii="Atkinson Hyperlegible" w:hAnsi="Atkinson Hyperlegible"/>
    </w:rPr>
  </w:style>
  <w:style w:styleId="NoteHeading" w:type="paragraph">
    <w:name w:val="Note Heading"/>
    <w:basedOn w:val="Normal"/>
    <w:next w:val="Normal"/>
    <w:link w:val="NoteHeadingChar"/>
    <w:rsid w:val="00CF50C1"/>
    <w:pPr>
      <w:spacing w:after="0"/>
    </w:pPr>
  </w:style>
  <w:style w:customStyle="1" w:styleId="NoteHeadingChar" w:type="character">
    <w:name w:val="Note Heading Char"/>
    <w:basedOn w:val="DefaultParagraphFont"/>
    <w:link w:val="NoteHeading"/>
    <w:rsid w:val="00CF50C1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Lecturexx</dc:title>
  <dc:creator>Dr Gordon Wright</dc:creator>
  <cp:keywords/>
  <dcterms:created xsi:type="dcterms:W3CDTF">2024-08-06T16:50:07Z</dcterms:created>
  <dcterms:modified xsi:type="dcterms:W3CDTF">2024-08-06T16:50:07Z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/>
  </property>
  <property fmtid="{D5CDD505-2E9C-101B-9397-08002B2CF9AE}" pid="5" name="by-author">
    <vt:lpwstr/>
  </property>
  <property fmtid="{D5CDD505-2E9C-101B-9397-08002B2CF9AE}" pid="6" name="csl">
    <vt:lpwstr>../apa7.csl</vt:lpwstr>
  </property>
  <property fmtid="{D5CDD505-2E9C-101B-9397-08002B2CF9AE}" pid="7" name="date">
    <vt:lpwstr>31 January, 2022</vt:lpwstr>
  </property>
  <property fmtid="{D5CDD505-2E9C-101B-9397-08002B2CF9AE}" pid="8" name="date-format">
    <vt:lpwstr>DD MMMM, YYYY</vt:lpwstr>
  </property>
  <property fmtid="{D5CDD505-2E9C-101B-9397-08002B2CF9AE}" pid="9" name="editor">
    <vt:lpwstr>visual</vt:lpwstr>
  </property>
  <property fmtid="{D5CDD505-2E9C-101B-9397-08002B2CF9AE}" pid="10" name="footer">
    <vt:lpwstr>PS52007D Research Methods VLE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ogo">
    <vt:lpwstr>images/RMIPHEX.png</vt:lpwstr>
  </property>
  <property fmtid="{D5CDD505-2E9C-101B-9397-08002B2CF9AE}" pid="16" name="menu">
    <vt:lpwstr>True</vt:lpwstr>
  </property>
  <property fmtid="{D5CDD505-2E9C-101B-9397-08002B2CF9AE}" pid="17" name="modulecode">
    <vt:lpwstr>PS52007D</vt:lpwstr>
  </property>
  <property fmtid="{D5CDD505-2E9C-101B-9397-08002B2CF9AE}" pid="18" name="navigation-mode">
    <vt:lpwstr>linear</vt:lpwstr>
  </property>
  <property fmtid="{D5CDD505-2E9C-101B-9397-08002B2CF9AE}" pid="19" name="subtitle">
    <vt:lpwstr>Content Pending</vt:lpwstr>
  </property>
  <property fmtid="{D5CDD505-2E9C-101B-9397-08002B2CF9AE}" pid="20" name="toc-title">
    <vt:lpwstr>Table of contents</vt:lpwstr>
  </property>
</Properties>
</file>