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QAA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qaa-benchmarks"/>
    <w:p>
      <w:pPr>
        <w:pStyle w:val="Heading1"/>
      </w:pPr>
      <w:r>
        <w:t xml:space="preserve">QAA Benchmarks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1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1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1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1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1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02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02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02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02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02"/>
        </w:numPr>
      </w:pPr>
      <w:r>
        <w:t xml:space="preserve">pose, operationalise and critique research questions</w:t>
      </w:r>
    </w:p>
    <w:p>
      <w:pPr>
        <w:numPr>
          <w:ilvl w:val="0"/>
          <w:numId w:val="1002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02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02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02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QAA</dc:title>
  <dc:creator/>
  <cp:keywords/>
  <dcterms:created xsi:type="dcterms:W3CDTF">2023-02-23T21:32:47Z</dcterms:created>
  <dcterms:modified xsi:type="dcterms:W3CDTF">2023-02-23T21:32:47Z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