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2</w:t>
      </w:r>
      <w:r>
        <w:t xml:space="preserve"> </w:t>
      </w:r>
      <w:r>
        <w:t xml:space="preserve">(level</w:t>
      </w:r>
      <w:r>
        <w:t xml:space="preserve"> </w:t>
      </w:r>
      <w:r>
        <w:t xml:space="preserve">5)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5" w:name="year-2-level-5"/>
    <w:p>
      <w:pPr>
        <w:pStyle w:val="Heading2"/>
      </w:pPr>
      <w:r>
        <w:t xml:space="preserve">Year 2 (level 5)</w:t>
      </w:r>
    </w:p>
    <w:bookmarkStart w:id="20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20"/>
    <w:bookmarkStart w:id="21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21"/>
    <w:bookmarkStart w:id="22" w:name="module-learning-outcomes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1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1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1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1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1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1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1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22"/>
    <w:bookmarkStart w:id="23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2 (level 5)</dc:title>
  <dc:creator/>
  <cp:keywords/>
  <dcterms:created xsi:type="dcterms:W3CDTF">2023-02-23T21:32:41Z</dcterms:created>
  <dcterms:modified xsi:type="dcterms:W3CDTF">2023-02-23T21:32:41Z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