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产品发布评审会议议程</w:t>
      </w:r>
    </w:p>
    <w:p>
      <w:r>
        <w:t>会议时间：2026-09-10 14:00 - 16:00</w:t>
      </w:r>
    </w:p>
    <w:p>
      <w:r>
        <w:t>会议地点：总部 3 号会议室</w:t>
      </w:r>
    </w:p>
    <w:p>
      <w:r>
        <w:t>主持人：李强（产品负责人）</w:t>
      </w:r>
    </w:p>
    <w:p>
      <w:r>
        <w:t>参会人：产品组、研发组、运维组、市场组</w:t>
      </w:r>
    </w:p>
    <w:p>
      <w:pPr>
        <w:pStyle w:val="Heading1"/>
      </w:pPr>
      <w:r>
        <w:t>一、议程安排</w:t>
      </w:r>
    </w:p>
    <w:p>
      <w:pPr>
        <w:pStyle w:val="ListBullet"/>
      </w:pPr>
      <w:r>
        <w:t>14:00 - 14:10　会议目标与议程说明　（主持人）</w:t>
      </w:r>
    </w:p>
    <w:p>
      <w:pPr>
        <w:pStyle w:val="ListBullet"/>
      </w:pPr>
      <w:r>
        <w:t>14:10 - 14:35　V2.0 版本功能验收结论　（产品组）</w:t>
      </w:r>
    </w:p>
    <w:p>
      <w:pPr>
        <w:pStyle w:val="ListBullet"/>
      </w:pPr>
      <w:r>
        <w:t>14:35 - 15:00　压测结果与线上容量评估　（研发组）</w:t>
      </w:r>
    </w:p>
    <w:p>
      <w:pPr>
        <w:pStyle w:val="ListBullet"/>
      </w:pPr>
      <w:r>
        <w:t>15:00 - 15:20　灰度发布范围与回滚预案　（运维组）</w:t>
      </w:r>
    </w:p>
    <w:p>
      <w:pPr>
        <w:pStyle w:val="ListBullet"/>
      </w:pPr>
      <w:r>
        <w:t>15:20 - 15:40　发布物料与对外通稿确认　（市场组）</w:t>
      </w:r>
    </w:p>
    <w:p>
      <w:pPr>
        <w:pStyle w:val="ListBullet"/>
      </w:pPr>
      <w:r>
        <w:t>15:40 - 16:00　风险确认与行动项分配　（全体）</w:t>
      </w:r>
    </w:p>
    <w:p>
      <w:pPr>
        <w:pStyle w:val="Heading1"/>
      </w:pPr>
      <w:r>
        <w:t>二、需要提前准备的材料</w:t>
      </w:r>
    </w:p>
    <w:p>
      <w:pPr>
        <w:pStyle w:val="ListBullet"/>
      </w:pPr>
      <w:r>
        <w:t>V2.0 功能验收报告</w:t>
      </w:r>
    </w:p>
    <w:p>
      <w:pPr>
        <w:pStyle w:val="ListBullet"/>
      </w:pPr>
      <w:r>
        <w:t>压测报告与容量评估表</w:t>
      </w:r>
    </w:p>
    <w:p>
      <w:pPr>
        <w:pStyle w:val="ListBullet"/>
      </w:pPr>
      <w:r>
        <w:t>灰度发布方案与回滚预案</w:t>
      </w:r>
    </w:p>
    <w:p>
      <w:pPr>
        <w:pStyle w:val="ListBullet"/>
      </w:pPr>
      <w:r>
        <w:t>对外通稿初稿</w:t>
      </w:r>
    </w:p>
    <w:p>
      <w:pPr>
        <w:pStyle w:val="Heading1"/>
      </w:pPr>
      <w:r>
        <w:t>三、评审结论</w:t>
      </w:r>
    </w:p>
    <w:p>
      <w:pPr>
        <w:pStyle w:val="ListNumber"/>
      </w:pPr>
      <w:r>
        <w:t>V2.0 按期发布，灰度比例首日 10%，第三日全量。</w:t>
      </w:r>
    </w:p>
    <w:p>
      <w:pPr>
        <w:pStyle w:val="ListNumber"/>
      </w:pPr>
      <w:r>
        <w:t>压测未达标的报表导出接口拆分为异步任务，发布前完成。</w:t>
      </w:r>
    </w:p>
    <w:p>
      <w:pPr>
        <w:pStyle w:val="ListNumber"/>
      </w:pPr>
      <w:r>
        <w:t>对外通稿由市场组在发布前一日 18:00 前定稿。</w:t>
      </w:r>
    </w:p>
    <w:p>
      <w:pPr>
        <w:pStyle w:val="Heading1"/>
      </w:pPr>
      <w:r>
        <w:t>四、待确认风险</w:t>
      </w:r>
    </w:p>
    <w:p>
      <w:pPr>
        <w:pStyle w:val="ListBullet"/>
      </w:pPr>
      <w:r>
        <w:t>报表导出改造涉及三个服务，联调时间紧张。</w:t>
      </w:r>
    </w:p>
    <w:p>
      <w:pPr>
        <w:pStyle w:val="ListBullet"/>
      </w:pPr>
      <w:r>
        <w:t>灰度期间需要值班同学盯盘，人力尚未排定。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