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RFI-001 RESPONSE</w:t>
      </w:r>
    </w:p>
    <w:p>
      <w:pPr>
        <w:spacing w:after="200"/>
        <w:jc w:val="center"/>
      </w:pPr>
      <w:r>
        <w:rPr>
          <w:rFonts w:ascii="Arial" w:cs="Arial" w:eastAsia="Arial" w:hAnsi="Arial"/>
          <w:color w:val="B8860B"/>
          <w:sz w:val="32"/>
          <w:szCs w:val="32"/>
        </w:rPr>
        <w:t xml:space="preserve">CLI Workstation Pattern Assessment</w:t>
      </w:r>
    </w:p>
    <w:p>
      <w:pPr>
        <w:pBdr>
          <w:bottom w:val="single" w:color="1F4E79" w:sz="6" w:space="1"/>
        </w:pBdr>
        <w:spacing w:after="80"/>
        <w:jc w:val="center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Prepared by: Foreman — Build Stack Workshop Architect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For: Gunther — Chief of Staff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Classification: INTERNAL — Gunther Operations</w:t>
      </w:r>
    </w:p>
    <w:p>
      <w:pPr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Date: 2026-03-10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Executive Summary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This document responds to RFI-001 issued by Gunther (Chief of Staff) requesting an architecture assessment of JD Longmire’s Claude CLI AI-Augmented Engineering Workstation against the current Gunther deployment model. The assessment evaluates five capability areas: Generator Pattern, Parallel Agent Execution, Visual Feedback Loop, Open-Source Toolchain, and Freelance Productization.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Key findings: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Generator Pattern — ADOPT.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Highest-ROI capability. Parameterized Python scripts for PPTX/DOCX/SVG production should be adopted immediately. They enable reusable, client-brandable deliverable pipelines and live natively in GitLab.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Parallel Agent Execution — DEFER.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Gunther’s existing four-function agent model (AD-0010) already provides effective parallelism at the session level. CLI-native parallelism adds complexity without proportional throughput gain for a solo operator.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Visual Feedback Loop — PARTIAL ADOPT.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Cowork mode already handles simple document preview. For complex diagrams and multi-slide decks, CLI-based rendering with LibreOffice/Inkscape adds meaningful quality assurance. Recommend hybrid approach.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Open-Source Toolchain — ADOPT (inventory only).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Most key tools (python-pptx, python-docx, Graphviz) are already available or easily installable in the Cowork VM. Maintain a documented tool manifest in GitLab for reproducible environment setup.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Freelance Productization — ADOPT (MVP pilot).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Primary business driver. Build a single “client kit” prototype: parameterized slide deck generator with brand injection (colors, logo, fonts). Pilot on the first real freelance engagement.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Overall recommendation: Selective adoption of generator pattern + toolchain inventory + freelance MVP pilot. No wholesale migration. No disruption to The Markdown sprint cadence.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Deliverable 1: Capability Mapping Matrix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following matrix maps each capability from JD’s whitepaper against the current Gunther deployment, identifies the gap, and provides a recommendation.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1800"/>
        <w:gridCol w:w="1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JD Capability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Gunther Current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Proposed 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Generator Pattern (scripts produce artifacts)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Ad-hoc: Cowork creates docs directly via docx-js/skills. No parameterized scripts.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reusable generators. Each doc is one-shot. No version-controlled build scripts.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400"/>
                <w:sz w:val="18"/>
                <w:szCs w:val="18"/>
              </w:rPr>
              <w:t xml:space="preserve">ADOPT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AD-0011: Generator-first artifact production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Parallel Agent Execution (multi-agent in one CLI session)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Four-function team in separate sessions (AD-0010). Effective but sequential per agent.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Minor. Current model works. CLI parallelism adds session complexity.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DEFER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AD required. Revisit when CLI/Cowork converge.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Visual Feedback Loop (render → screenshot → iterate)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Cowork previews .html/.md/.jsx artifacts. Limited for PPTX/SVG.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Complex visual artifacts (multi-slide decks, architecture diagrams) lack tight feedback loop.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PARTIAL ADOPT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AD-0012: Hybrid preview (Cowork simple + CLI complex)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Open-Source Toolchain (python-pptx, diagrams, Graphviz, etc.)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Cowork VM has python-pptx, python-docx via skills. No diagrams/Graphviz/Inkscape.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Diagramming toolchain missing. No documented manifest.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400"/>
                <w:sz w:val="18"/>
                <w:szCs w:val="18"/>
              </w:rPr>
              <w:t xml:space="preserve">ADOPT (inventory)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AD-0013: Tool manifest in GitLab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Freelance Productization (client-brandable artifact pipelines)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reusable client kit. Each engagement starts from scratch.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Critical gap for business growth. No parameterized brand injection.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400"/>
                <w:sz w:val="18"/>
                <w:szCs w:val="18"/>
              </w:rPr>
              <w:t xml:space="preserve">ADOPT (MVP)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AD-0014: Client kit pattern + generator library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Deliverable 2: Adoption Risk Assessment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Per-capability assessment of complexity, effort, risk, and ROI. Scored 1–5 (1=low, 5=high).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122"/>
        <w:gridCol w:w="1122"/>
        <w:gridCol w:w="1122"/>
        <w:gridCol w:w="1122"/>
        <w:gridCol w:w="300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1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Generator Pattern</w:t>
            </w:r>
          </w:p>
        </w:tc>
        <w:tc>
          <w:tcPr>
            <w:tcW w:type="dxa" w:w="1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2/5</w:t>
            </w:r>
          </w:p>
        </w:tc>
        <w:tc>
          <w:tcPr>
            <w:tcW w:type="dxa" w:w="1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2/5</w:t>
            </w:r>
          </w:p>
        </w:tc>
        <w:tc>
          <w:tcPr>
            <w:tcW w:type="dxa" w:w="1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1/5</w:t>
            </w:r>
          </w:p>
        </w:tc>
        <w:tc>
          <w:tcPr>
            <w:tcW w:type="dxa" w:w="1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400"/>
                <w:sz w:val="18"/>
                <w:szCs w:val="18"/>
              </w:rPr>
              <w:t xml:space="preserve">5/5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Low risk, high reward. Python scripts are simple to write, test, and version. Biggest bang for effort.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Parallel Agent Execution</w:t>
            </w:r>
          </w:p>
        </w:tc>
        <w:tc>
          <w:tcPr>
            <w:tcW w:type="dxa" w:w="1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4/5</w:t>
            </w:r>
          </w:p>
        </w:tc>
        <w:tc>
          <w:tcPr>
            <w:tcW w:type="dxa" w:w="1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3/5</w:t>
            </w:r>
          </w:p>
        </w:tc>
        <w:tc>
          <w:tcPr>
            <w:tcW w:type="dxa" w:w="1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3/5</w:t>
            </w:r>
          </w:p>
        </w:tc>
        <w:tc>
          <w:tcPr>
            <w:tcW w:type="dxa" w:w="1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2/5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Current AD-0010 model works. CLI parallelism requires environment change and adds debugging complexity. Solo operator may not saturate parallel capacity.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Visual Feedback Loop</w:t>
            </w:r>
          </w:p>
        </w:tc>
        <w:tc>
          <w:tcPr>
            <w:tcW w:type="dxa" w:w="1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2/5</w:t>
            </w:r>
          </w:p>
        </w:tc>
        <w:tc>
          <w:tcPr>
            <w:tcW w:type="dxa" w:w="1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2/5</w:t>
            </w:r>
          </w:p>
        </w:tc>
        <w:tc>
          <w:tcPr>
            <w:tcW w:type="dxa" w:w="1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1/5</w:t>
            </w:r>
          </w:p>
        </w:tc>
        <w:tc>
          <w:tcPr>
            <w:tcW w:type="dxa" w:w="1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3/5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Cowork already handles basics. CLI adds value only for complex visual work. Hybrid approach minimizes effort.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Open-Source Toolchain</w:t>
            </w:r>
          </w:p>
        </w:tc>
        <w:tc>
          <w:tcPr>
            <w:tcW w:type="dxa" w:w="1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1/5</w:t>
            </w:r>
          </w:p>
        </w:tc>
        <w:tc>
          <w:tcPr>
            <w:tcW w:type="dxa" w:w="1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1/5</w:t>
            </w:r>
          </w:p>
        </w:tc>
        <w:tc>
          <w:tcPr>
            <w:tcW w:type="dxa" w:w="1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1/5</w:t>
            </w:r>
          </w:p>
        </w:tc>
        <w:tc>
          <w:tcPr>
            <w:tcW w:type="dxa" w:w="1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3/5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Documenting a tool manifest is trivial. Installing missing tools (diagrams, Graphviz) is one-time effort.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Freelance Productization</w:t>
            </w:r>
          </w:p>
        </w:tc>
        <w:tc>
          <w:tcPr>
            <w:tcW w:type="dxa" w:w="1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3/5</w:t>
            </w:r>
          </w:p>
        </w:tc>
        <w:tc>
          <w:tcPr>
            <w:tcW w:type="dxa" w:w="1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3/5</w:t>
            </w:r>
          </w:p>
        </w:tc>
        <w:tc>
          <w:tcPr>
            <w:tcW w:type="dxa" w:w="1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2/5</w:t>
            </w:r>
          </w:p>
        </w:tc>
        <w:tc>
          <w:tcPr>
            <w:tcW w:type="dxa" w:w="1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400"/>
                <w:sz w:val="18"/>
                <w:szCs w:val="18"/>
              </w:rPr>
              <w:t xml:space="preserve">5/5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Primary business driver. Moderate build effort but directly enables revenue generation. Risk is low because MVP can fail fast without impacting The Markdown.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Risk Mitigations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Solo-operator ceiling: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All recommendations are self-service. No cron jobs to monitor, no services to babysit. Generator scripts run on demand.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 migration risk: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Cowork and Desktop Projects continue as-is. Generator scripts are additive tooling, not replacement.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Markdown protection: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All new capabilities deploy to Build Stack Workshop, not The Markdown’s WordPress stack. Zero sprint disruption.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Fail-fast MVP: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Freelance pilot scoped to one artifact type. If it doesn’t deliver value in one engagement, pivot with minimal sunk cost.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Deliverable 3: Recommended Adoption Roadmap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Phased plan aligned to the solo-operator constraint. Each phase is independently valuable — no phase depends on later phases completing.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Phase 1: Quick Wins (This Sprint, ~4 hours)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Immediate, zero-risk improvements that lay the foundation.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tool-manifest.md in GitLab — document all available tools in Cowork VM + any needed pip installs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first generator script: a parameterized PPTX deck builder with brand-injection slots (logo, colors, fonts, company name)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 generator on a real deliverable: rebuild one existing Non Sequitur / The Markdown slide deck using the generator pattern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Commit generator to GitLab under 04 Build Stack Workshop/generators/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Phase 2: Medium-Term (Sprint 3.5–4, ~8 hours)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Build out the generator library and validate on first client engagement.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Expand generator library: add DOCX proposal template, SVG architecture diagram builder, project status report template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client-kit.json schema: brand colors, logo path, fonts, boilerplate text, contact info — one JSON file per client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Wire generators to read from client-kit.json — same script, different brand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 hybrid visual feedback: use CLI rendering for diagram generators, Cowork preview for docs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Pilot on first real freelance engagement (see Deliverable 5 for MVP scope)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Phase 3: Long-Term (Post-Sprint 4, ongoing)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Mature the system based on real-world use.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a generator index: CLI command or script that lists all available generators with description and usage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Evaluate CLI-native parallel agents if Cowork gains native agent spawning — revisit DEFER decision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Consider generator marketplace: package reusable generators as shareable templates for future team members or collaborators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Integrate with GitLab CI: optional pipeline that rebuilds all client deliverables from generators on commit (stretch goal)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Deliverable 4: Freelance Client Kit Concept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Architecture proposal for a parameterized deliverable pipeline that enables rapid production of client-quality branded artifacts.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5.1 Concept Overview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 Client Kit is a configuration-driven system where brand identity is separated from content structure. A single generator script produces multiple artifact types (slide deck, proposal, status report, architecture diagram) using a shared brand configuration file. Changing the brand file produces the same content with a different visual identity.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5.2 Architecture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system has three layers: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 When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Brand Config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Colors, logo, fonts, company name, tagline, contact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clients/{name}/brand.json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New client onboarded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Generators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Python scripts: build_deck.py, build_proposal.py, build_diagram.py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generators/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New artifact type added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Markdown/YAML with actual content (slide text, proposal sections, data)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clients/{name}/content/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Each engagement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5.3 brand.json Schema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Minimal viable brand configuration:</w:t>
      </w:r>
    </w:p>
    <w:p>
      <w:pPr>
        <w:spacing w:after="6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6"/>
          <w:szCs w:val="16"/>
        </w:rPr>
        <w:t xml:space="preserve">{ "company": "Acme Corp", "tagline": "Building the Future", "logo": "clients/acme/logo.png", "colors": { "primary": "#1F4E79", "accent": "#FFB302", "bg_dark": "#0d1117", "text_light": "#FFFFFF", "text_body": "#C5C5C5" }, "fonts": { "heading": "Albert Sans", "body": "DM Sans" }, "contact": { "name": "Justin Kuiper", "email": "justin@nonsequitur.com", "title": "Technology Consultant" } 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5.4 Generator Contract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Every generator script follows a standard interface: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Reads brand.json from command-line argument or environment variable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Reads content from markdown/YAML input file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Produces a single output artifact (PPTX, DOCX, SVG, PDF)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Outputs to a specified directory with predictable naming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Returns exit code 0 on success with artifact path to stdout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5.5 Proposed Architecture Decision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AD-0014: Client Kit Pattern for Freelance Deliverable Production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Decision: Adopt a configuration-driven generator pattern for all freelance deliverables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Context: Solo operator needs rapid, professional, client-branded artifact production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Trade-off: Upfront investment in generator scripts (~4-8h) vs. per-engagement time savings (~2-4h per deliverable set)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Break-even: Second client engagement. Positive ROI from engagement 3 onward.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Deliverable 5: MVP Pilot Recommendation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One artifact type, one use case, end-to-end proof of concept.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6.1 Artifact Type: Branded Slide Deck (PPTX)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Why slides: highest-frequency freelance deliverable, most visual impact, most time-consuming to produce manually, and python-pptx is already available in the Cowork VM via the pptx skill. JD’s whitepaper demonstrates this exact pattern most thoroughly.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6.2 Use Case: Technology Consulting Proposal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 12–20 slide consulting proposal deck that includes: title slide with client branding, executive summary, problem statement, proposed approach (3–5 pillars), timeline, team/qualifications, investment summary, and next steps. This is the deliverable Yeti will need for every freelance engagement.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6.3 MVP Scope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MVP Scope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Generator script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build_proposal_deck.py — reads brand.json + content.yaml, produces branded PPTX with consistent theme, slide numbers, and speaker 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Brand config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Non Sequitur brand.json (Yeti’s own brand as default). Second brand config for test client.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Content input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content.yaml with slide titles, bullet points, speaker notes. Markdown-formatted text fields.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Single PPTX file, presentation-ready, with all brand elements applied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Validation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Run with Non Sequitur brand → verify. Swap to test client brand → verify same content, different branding.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Effort estimate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4–6 hours total: 2h generator script, 1h brand configs, 1h content YAML, 1–2h testing/iteration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Success criteria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Yeti can produce a client-branded proposal deck in &lt;30 minutes by editing content.yaml and running the generator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6.4 Pilot Timeline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Day 1: Build generator script + Non Sequitur brand config (Phase 1 quick win)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Day 2: Create sample content.yaml, test output, iterate on visual quality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Day 3: Add second brand config, validate brand-swap capability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First real engagement: Use the generator for the actual proposal. Measure time saved vs. manual creation.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Proposed Architecture Decisions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following new ADs are recommended for addition to the Architecture Register: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600"/>
        <w:gridCol w:w="2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AD-0011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Generator-first artifact production: use Python scripts that build artifacts rather than generating artifacts directly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Enables version control, parameterization, reproducibility, and reuse across engagements (RFI-001 §3.1)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PROPOSED — pending Gunther approval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AD-0012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Hybrid preview model: Cowork for simple docs, CLI rendering for complex visual artifacts (PPTX, SVG)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Leverages existing Cowork preview while adding CLI quality for visual-intensive deliverables (RFI-001 §3.3)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PROPOSED — pending Gunther approval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AD-0013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Documented tool manifest in GitLab for reproducible environment setup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Ensures any agent session can bootstrap correct toolchain. Zero maintenance overhead. (RFI-001 §3.4)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PROPOSED — pending Gunther approval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AD-0014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Client Kit pattern: brand.json + generators + content inputs for freelance deliverable pipeline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Primary business driver. Separates brand from content for multi-client reuse. Break-even at 2nd engagement. (RFI-001 §3.5)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PROPOSED — pending Gunther approval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Appendix A: Solo-Operator Ceiling Test Results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Each recommendation was evaluated against the RFI’s five assessment constraints: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Generator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Parallel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Toolchain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Freelance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Solo-operator ceiling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On-demand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⚠️ Adds complexity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Hybrid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One-time setup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Self-service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 wholesale migration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Additive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N/A (deferred)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Additive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Additive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New capability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Protect The Markdown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Separate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Separate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Separate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Separate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GitLab-native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Scripts in repo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Configs in repo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Manifest in repo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Kits in repo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Cost-neutral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OSS tools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OSS tools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All free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All free</w:t>
            </w:r>
          </w:p>
        </w:tc>
      </w:tr>
    </w:tbl>
    <w:p>
      <w:pPr>
        <w:spacing w:after="6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All adopted capabilities pass all five constraints. The deferred capability (Parallel Agent Execution) was deferred specifically because it failed the solo-operator ceiling test.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INTERNAL — Gunther Operations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RFI-001 Response — CLI Workstation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4E79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2026-03-10T19:44:44.253Z</dcterms:created>
  <dcterms:modified xsi:type="dcterms:W3CDTF">2026-03-10T19:44:44.255Z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