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sz w:val="30"/>
        </w:rPr>
        <w:t>PROTOKÓŁ</w:t>
      </w:r>
    </w:p>
    <w:p>
      <w:pPr>
        <w:spacing w:before="0" w:after="200"/>
        <w:jc w:val="center"/>
      </w:pPr>
      <w:r>
        <w:rPr>
          <w:rFonts w:ascii="Calibri" w:hAnsi="Calibri" w:eastAsia="Calibri"/>
          <w:b/>
          <w:sz w:val="24"/>
        </w:rPr>
        <w:t>z przeglądu rozdzielni 0,4 kV i skrzynek sterowniczych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rPr>
                <w:rFonts w:ascii="Calibri" w:hAnsi="Calibri" w:eastAsia="Calibri"/>
                <w:b/>
                <w:sz w:val="18"/>
              </w:rPr>
              <w:t>Obiekt: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rPr>
                <w:rFonts w:ascii="Calibri" w:hAnsi="Calibri" w:eastAsia="Calibri"/>
                <w:b w:val="0"/>
                <w:sz w:val="18"/>
              </w:rPr>
              <w:t>Rozdzielnie 0,4 kV (RAGP1, RPO-RNUKS1, RPS-RNUKS1, ROEA, ROR-RNUKS1, RMC, RO-RNUKS1, RNG-RNUKS1, RZ-RNUKS1) oraz skrzynki sterownicze, przyłączeniowe, zasilające</w:t>
            </w:r>
          </w:p>
        </w:tc>
      </w:tr>
      <w:tr>
        <w:tc>
          <w:tcPr>
            <w:tcW w:type="dxa" w:w="48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rPr>
                <w:rFonts w:ascii="Calibri" w:hAnsi="Calibri" w:eastAsia="Calibri"/>
                <w:b/>
                <w:sz w:val="18"/>
              </w:rPr>
              <w:t>Data przeglądu: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rPr>
                <w:rFonts w:ascii="Calibri" w:hAnsi="Calibri" w:eastAsia="Calibri"/>
                <w:b w:val="0"/>
                <w:sz w:val="18"/>
              </w:rPr>
              <w:t>wrzesień 2026 r.</w:t>
            </w:r>
          </w:p>
        </w:tc>
      </w:tr>
      <w:tr>
        <w:tc>
          <w:tcPr>
            <w:tcW w:type="dxa" w:w="48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rPr>
                <w:rFonts w:ascii="Calibri" w:hAnsi="Calibri" w:eastAsia="Calibri"/>
                <w:b/>
                <w:sz w:val="18"/>
              </w:rPr>
              <w:t>Nr protokołu: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r>
              <w:rPr>
                <w:rFonts w:ascii="Calibri" w:hAnsi="Calibri" w:eastAsia="Calibri"/>
                <w:b w:val="0"/>
                <w:sz w:val="18"/>
              </w:rPr>
              <w:t>..............................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1"/>
        </w:rPr>
        <w:t>1.  Podstawa przeprowadzenia przeglądu.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Umowa, DTR oraz instrukcja użytkowania wyłączników, współprowadzonych PONTIS.</w:t>
      </w:r>
    </w:p>
    <w:p>
      <w:pPr>
        <w:spacing w:before="160" w:after="60"/>
      </w:pPr>
      <w:r>
        <w:rPr>
          <w:rFonts w:ascii="Calibri" w:hAnsi="Calibri" w:eastAsia="Calibri"/>
          <w:b/>
          <w:sz w:val="21"/>
        </w:rPr>
        <w:t>2.  Zakres wykonanych prac.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Dzień 1: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Przegląd i konserwacja rozdzielni 0,4 kV: RAGP1, RPO-RNUKS1, RPS-RNUKS1, ROEA, ROR-RNUKS1, RMC, RO-RNUKS1. W ramach prac wykonano: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kontrolę stanu, uzupełnienie napisów i oznaczeń informacyjnych i ostrzegawczych,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czyszczenie pól rozdzielni i łączników z zainstalowaną aparaturą (wewnątrz i zewnątrz),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przegląd aparatury łączeniowej,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kontrolę stanu połączeń uziemiających,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kontrolę uszczelnień i przepustów kablowych.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Dzień 2: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Przegląd i konserwacja rozdzielni 0,4 kV: RAGP1, RNG-RNUKS1, RZ-RNUKS1, RMC, ROR-RNUKS1, RPO-RNUKS1, RPS-RNUKS1, ROEA, RO-RNUKS1. W ramach prac wykonano: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kontrolę stanu, uzupełnienie napisów i oznaczeń informacyjnych i ostrzegawczych,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czyszczenie pól rozdzielni i łączników z zainstalowaną aparaturą (wewnątrz i zewnątrz),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przegląd aparatury łączeniowej,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kontrolę stanu połączeń uziemiających,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kontrolę uszczelnień i przepustów kablowych,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czyszczenie skrzynek na zewnątrz i wewnątrz w celu usunięcia brudu (na mokro).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Dzień 3: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Przegląd skrzynek sterowniczych, przyłączeniowych i zasilających. W ramach prac wykonano: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przegląd i sprawdzenie działania aparatury, elementów elektrycznych oraz elementów ruchomych stanowiących wyposażenie skrzynek,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sprawdzenie połączeń śrubowych,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oczyszczenie zasadek łączeniowych,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sprawdzenie stanu kablowych (stan szczelności),</w:t>
      </w:r>
    </w:p>
    <w:p>
      <w:pPr>
        <w:spacing w:before="0" w:after="20"/>
        <w:ind w:left="794"/>
      </w:pPr>
      <w:r>
        <w:rPr>
          <w:rFonts w:ascii="Calibri" w:hAnsi="Calibri" w:eastAsia="Calibri"/>
          <w:b w:val="0"/>
          <w:sz w:val="18"/>
        </w:rPr>
        <w:t>– sprawdzenie stanu końcówek kablowych.</w:t>
      </w:r>
    </w:p>
    <w:p>
      <w:pPr>
        <w:spacing w:before="160" w:after="60"/>
      </w:pPr>
      <w:r>
        <w:rPr>
          <w:rFonts w:ascii="Calibri" w:hAnsi="Calibri" w:eastAsia="Calibri"/>
          <w:b/>
          <w:sz w:val="21"/>
        </w:rPr>
        <w:t>3.  Wynik przeglądu.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Wynik pozytywny. Wszystkie elementy rozdzielni oraz skrzynek sterowniczych, przyłączeniowych i zasilających działają prawidłowo.</w:t>
      </w:r>
    </w:p>
    <w:p>
      <w:pPr>
        <w:spacing w:before="160" w:after="60"/>
      </w:pPr>
      <w:r>
        <w:rPr>
          <w:rFonts w:ascii="Calibri" w:hAnsi="Calibri" w:eastAsia="Calibri"/>
          <w:b/>
          <w:sz w:val="21"/>
        </w:rPr>
        <w:t>4.  Uwagi.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 w:val="0"/>
          <w:sz w:val="19"/>
        </w:rPr>
        <w:t>Brak.</w:t>
      </w:r>
    </w:p>
    <w:p>
      <w:pPr>
        <w:spacing w:before="160" w:after="60"/>
      </w:pPr>
      <w:r>
        <w:rPr>
          <w:rFonts w:ascii="Calibri" w:hAnsi="Calibri" w:eastAsia="Calibri"/>
          <w:b/>
          <w:sz w:val="21"/>
        </w:rPr>
        <w:t>5.  Wniosek końcowy.</w:t>
      </w:r>
    </w:p>
    <w:p>
      <w:pPr>
        <w:spacing w:before="0" w:after="40"/>
        <w:ind w:left="454"/>
        <w:jc w:val="both"/>
      </w:pPr>
      <w:r>
        <w:rPr>
          <w:rFonts w:ascii="Calibri" w:hAnsi="Calibri" w:eastAsia="Calibri"/>
          <w:b/>
          <w:sz w:val="19"/>
        </w:rPr>
        <w:t>Na podstawie przeprowadzonego przeglądu i konserwacji, rozdzielnie 0,4 kV oraz skrzynki sterownicze, przyłączeniowe i zasilające nadają się do dalszej eksploatacji.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Data wykonania:</w:t>
            </w:r>
          </w:p>
        </w:tc>
        <w:tc>
          <w:tcPr>
            <w:tcW w:type="dxa" w:w="32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Wykonawca:</w:t>
            </w:r>
          </w:p>
        </w:tc>
        <w:tc>
          <w:tcPr>
            <w:tcW w:type="dxa" w:w="32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Zamawiający:</w:t>
            </w:r>
          </w:p>
        </w:tc>
      </w:tr>
      <w:tr>
        <w:tc>
          <w:tcPr>
            <w:tcW w:type="dxa" w:w="32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wrzesień 2026 r.</w:t>
            </w:r>
          </w:p>
        </w:tc>
        <w:tc>
          <w:tcPr>
            <w:tcW w:type="dxa" w:w="32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..............................</w:t>
            </w:r>
          </w:p>
        </w:tc>
        <w:tc>
          <w:tcPr>
            <w:tcW w:type="dxa" w:w="32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..............................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