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sz w:val="28"/>
        </w:rPr>
        <w:t>PROTOKÓŁ</w:t>
      </w:r>
    </w:p>
    <w:p>
      <w:pPr>
        <w:spacing w:before="0" w:after="160"/>
        <w:jc w:val="center"/>
      </w:pPr>
      <w:r>
        <w:rPr>
          <w:rFonts w:ascii="Calibri" w:hAnsi="Calibri" w:eastAsia="Calibri"/>
          <w:b/>
          <w:sz w:val="24"/>
        </w:rPr>
        <w:t>z przeglądu rozdzielni 0,4 kV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Obiekt:</w:t>
            </w:r>
          </w:p>
        </w:tc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Rozdzielnia 0,4 kV</w:t>
            </w:r>
          </w:p>
        </w:tc>
      </w:tr>
      <w:tr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Data przeglądu:</w:t>
            </w:r>
          </w:p>
        </w:tc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wrzesień 2026 r.</w:t>
            </w:r>
          </w:p>
        </w:tc>
      </w:tr>
      <w:tr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Nr protokołu:</w:t>
            </w:r>
          </w:p>
        </w:tc>
        <w:tc>
          <w:tcPr>
            <w:tcW w:type="dxa" w:w="4819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..............................</w:t>
            </w:r>
          </w:p>
        </w:tc>
      </w:tr>
    </w:tbl>
    <w:p/>
    <w:p>
      <w:pPr>
        <w:spacing w:before="120" w:after="40"/>
      </w:pPr>
      <w:r>
        <w:rPr>
          <w:rFonts w:ascii="Calibri" w:hAnsi="Calibri" w:eastAsia="Calibri"/>
          <w:b/>
          <w:sz w:val="21"/>
        </w:rPr>
        <w:t>1.  Podstawa przeprowadzenia przeglądu.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Umowa, DTR oraz instrukcja użytkowania wyłączników, współprowadzonych PONTIS.</w:t>
      </w:r>
    </w:p>
    <w:p>
      <w:pPr>
        <w:spacing w:before="120" w:after="40"/>
      </w:pPr>
      <w:r>
        <w:rPr>
          <w:rFonts w:ascii="Calibri" w:hAnsi="Calibri" w:eastAsia="Calibri"/>
          <w:b/>
          <w:sz w:val="21"/>
        </w:rPr>
        <w:t>2.  Oględziny: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Sprawdzono stan zewnętrzny obudowy, połączenia szynoprzewodów, napisy ostrzegawcze oraz szyldy tabliczkowe. Sprawdzono stan obwodów pomocniczych, napraw. Skontrolowano zamocowanie aparatury rozdzielczej. Skontrolowano stan obwodów sterowniczych, elementów ruchomych oraz szyldy.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Sprawdzono kluczem dynamometrycznym dokręcenie śrub na połączeniach szynowych pomiędzy transformatorem T1 a rozdzielnicą RNN-GOKL.</w:t>
      </w:r>
    </w:p>
    <w:p>
      <w:pPr>
        <w:spacing w:before="120" w:after="40"/>
      </w:pPr>
      <w:r>
        <w:rPr>
          <w:rFonts w:ascii="Calibri" w:hAnsi="Calibri" w:eastAsia="Calibri"/>
          <w:b/>
          <w:sz w:val="21"/>
        </w:rPr>
        <w:t>3.  Sprawdzenie: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Działanie członów ruchomych pól zasilających i odpływowych wyłączników głównych 0,4 kV poprzez wykonanie kilkakrotne przejść z pozycji do pozycji, próba do pozycji mechanicznego załączania blokad, łączników głównych. Działanie wyłączania mechanicznego i elektrycznego, sterowanie w polach odpływowych poprzez ręczne załączanie blokad i wyłączanie działania członów ruchomych wykonawczych.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Wynik pozytywny.</w:t>
      </w:r>
    </w:p>
    <w:p>
      <w:pPr>
        <w:spacing w:before="120" w:after="40"/>
      </w:pPr>
      <w:r>
        <w:rPr>
          <w:rFonts w:ascii="Calibri" w:hAnsi="Calibri" w:eastAsia="Calibri"/>
          <w:b/>
          <w:sz w:val="21"/>
        </w:rPr>
        <w:t>4.  Pomiar rezystancji izolacji obwodów pierwotnych.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Typ miernika: MIT2500; nr fabryczny miernika; o napięciu 1000 V.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Zmierzona rezystancja izolacji: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UKŁAD</w:t>
            </w:r>
          </w:p>
        </w:tc>
        <w:tc>
          <w:tcPr>
            <w:tcW w:type="dxa" w:w="3213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+</w:t>
            </w:r>
          </w:p>
        </w:tc>
        <w:tc>
          <w:tcPr>
            <w:tcW w:type="dxa" w:w="3213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−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L1-L1PE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L2-L2PE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L3-L3PE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&gt; 1000 MΩ</w:t>
            </w:r>
          </w:p>
        </w:tc>
      </w:tr>
    </w:tbl>
    <w:p>
      <w:pPr>
        <w:spacing w:before="120" w:after="40"/>
      </w:pPr>
      <w:r>
        <w:rPr>
          <w:rFonts w:ascii="Calibri" w:hAnsi="Calibri" w:eastAsia="Calibri"/>
          <w:b/>
          <w:sz w:val="21"/>
        </w:rPr>
        <w:t>5.  Uwagi: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Brak.</w:t>
      </w:r>
    </w:p>
    <w:p>
      <w:pPr>
        <w:spacing w:before="120" w:after="40"/>
      </w:pPr>
      <w:r>
        <w:rPr>
          <w:rFonts w:ascii="Calibri" w:hAnsi="Calibri" w:eastAsia="Calibri"/>
          <w:b/>
          <w:sz w:val="21"/>
        </w:rPr>
        <w:t>6.  Przyrządy pomiarowe użyte w badaniach: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Miernik rezystancji izolacji: MIT2500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Miernik uniwersalny: FLUKE 175</w:t>
      </w:r>
    </w:p>
    <w:p>
      <w:pPr>
        <w:spacing w:before="120" w:after="40"/>
      </w:pPr>
      <w:r>
        <w:rPr>
          <w:rFonts w:ascii="Calibri" w:hAnsi="Calibri" w:eastAsia="Calibri"/>
          <w:b/>
          <w:sz w:val="21"/>
        </w:rPr>
        <w:t>7.  Wniosek końcowy: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Na podstawie przeprowadzonych oględzin, pomiarów i prób, rozdzielnia 0,4 kV nadaje się do dalszej eksploatacji.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Data wykonania:</w:t>
            </w:r>
          </w:p>
        </w:tc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Wykonawca:</w:t>
            </w:r>
          </w:p>
        </w:tc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Zamawiający:</w:t>
            </w:r>
          </w:p>
        </w:tc>
      </w:tr>
      <w:tr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wrzesień 2026 r.</w:t>
            </w:r>
          </w:p>
        </w:tc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..............................</w:t>
            </w:r>
          </w:p>
        </w:tc>
        <w:tc>
          <w:tcPr>
            <w:tcW w:type="dxa" w:w="3213"/>
            <w:tcBorders>
              <w:top w:val="none" w:sz="0" w:space="0" w:color="FFFFFF"/>
              <w:bottom w:val="none" w:sz="0" w:space="0" w:color="FFFFFF"/>
              <w:start w:val="none" w:sz="0" w:space="0" w:color="FFFFFF"/>
              <w:end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..............................</w:t>
            </w:r>
          </w:p>
        </w:tc>
      </w:tr>
    </w:tbl>
    <w:p>
      <w:pPr>
        <w:spacing w:before="120"/>
        <w:jc w:val="center"/>
      </w:pPr>
      <w:r>
        <w:rPr>
          <w:rFonts w:ascii="Calibri" w:hAnsi="Calibri" w:eastAsia="Calibri"/>
          <w:b w:val="0"/>
          <w:color w:val="808080"/>
          <w:sz w:val="16"/>
        </w:rPr>
        <w:t>Strona 1 / 2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hAnsi="Calibri" w:eastAsia="Calibri"/>
          <w:b/>
          <w:sz w:val="26"/>
        </w:rPr>
        <w:t>Wykaz podstawowych czynności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Lp.</w:t>
            </w:r>
          </w:p>
        </w:tc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Wyszczególnienie prac</w:t>
            </w:r>
          </w:p>
        </w:tc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Wykaz podstawowych czynności</w:t>
            </w:r>
          </w:p>
        </w:tc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Jedn.</w:t>
              <w:br/>
              <w:t>miary</w:t>
            </w:r>
          </w:p>
        </w:tc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Ilość</w:t>
            </w:r>
          </w:p>
        </w:tc>
        <w:tc>
          <w:tcPr>
            <w:tcW w:type="dxa" w:w="1606"/>
            <w:shd w:fill="EBEBEB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Czas</w:t>
              <w:br/>
              <w:t>wyk.</w:t>
            </w:r>
          </w:p>
        </w:tc>
      </w:tr>
      <w:tr>
        <w:tc>
          <w:tcPr>
            <w:tcW w:type="dxa" w:w="1606"/>
            <w:vMerge w:val="restart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06"/>
            <w:vMerge w:val="restart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Przegląd, konserwacja rozdzielni 0,4kV RNUKS1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Kontrola stanu, uzupełnienie napisów i oznaczeń informacyjnych i ostrzegawczych.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Czyszczenie pól rozdzielni i łączników z zainstalowaną aparaturą (wewnątrz i zewnątrz).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Przegląd aparatury łączeniowej.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Kontrola stanu połączeń uziemiających.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Kontrola uszczelnień i przepustów kablowych.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Wykonanie protokołu z wykonanych prac.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kpl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1 dzień</w:t>
            </w:r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 w:val="0"/>
          <w:color w:val="808080"/>
          <w:sz w:val="16"/>
        </w:rPr>
        <w:t>Strona 2 / 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