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6B5E7DC2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</w:t>
      </w:r>
      <w:r w:rsidR="00E725F6">
        <w:rPr>
          <w:lang w:val="pt-BR"/>
        </w:rPr>
        <w:t>,</w:t>
      </w:r>
      <w:r>
        <w:rPr>
          <w:lang w:val="pt-BR"/>
        </w:rPr>
        <w:t xml:space="preserve">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0B7B323E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É proibida a inclusão/exclusão/alteração de autores </w:t>
      </w:r>
      <w:r w:rsidR="00E725F6">
        <w:rPr>
          <w:lang w:val="pt-BR"/>
        </w:rPr>
        <w:t xml:space="preserve">ou da ordem de autoria </w:t>
      </w:r>
      <w:r>
        <w:rPr>
          <w:lang w:val="pt-BR"/>
        </w:rPr>
        <w:t>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2BE5A14F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</w:t>
      </w:r>
      <w:r w:rsidR="00E725F6">
        <w:rPr>
          <w:lang w:val="pt-BR"/>
        </w:rPr>
        <w:t xml:space="preserve">diretamente no sistema </w:t>
      </w:r>
      <w:r w:rsidR="00547F38">
        <w:rPr>
          <w:lang w:val="pt-BR"/>
        </w:rPr>
        <w:t xml:space="preserve">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77EAED56" w:rsidR="003C6508" w:rsidRPr="00046764" w:rsidRDefault="00046764" w:rsidP="00A227B8">
      <w:pPr>
        <w:pStyle w:val="Ttulo1"/>
        <w:spacing w:after="240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 xml:space="preserve">2. 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MODELO PARA </w:t>
      </w:r>
      <w:r w:rsidR="00A227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RELATÓRIO TÉCNICO</w:t>
      </w:r>
      <w:r w:rsidR="00E725F6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OU TECNOLÓGICO</w:t>
      </w:r>
    </w:p>
    <w:p w14:paraId="1240DF8B" w14:textId="5528440C" w:rsidR="00A227B8" w:rsidRDefault="00A227B8" w:rsidP="00A227B8">
      <w:pPr>
        <w:pStyle w:val="Corpodetexto"/>
        <w:spacing w:after="0" w:line="360" w:lineRule="auto"/>
      </w:pPr>
      <w:r>
        <w:t>O relatório técnico pode ser definido como uma pesquisa aplicada que tem como produto final um trabalho que descreve uma experiência nas organizações com base no rigor científico e metodológico exigido pela academia. Esse tipo de trabalho deve e</w:t>
      </w:r>
      <w:r w:rsidR="00E725F6">
        <w:t>x</w:t>
      </w:r>
      <w:r>
        <w:t xml:space="preserve">trapolar a simples descrição dos fatos/problemas ocorridos em uma organização, ou seja, deve ser propositivo, gerando soluções para o problema relatado. Outro aspecto importante é descrever de maneira objetiva os mecanismos de intervenção adotados e dentro destes limites utilizar o necessário rigor científico, sobretudo para potencializar as análises e soluções propostas. </w:t>
      </w:r>
    </w:p>
    <w:p w14:paraId="0D46A9C0" w14:textId="77777777" w:rsidR="00A227B8" w:rsidRDefault="00A227B8" w:rsidP="00A227B8">
      <w:pPr>
        <w:pStyle w:val="Corpodetexto"/>
        <w:spacing w:after="0" w:line="360" w:lineRule="auto"/>
      </w:pPr>
      <w:r>
        <w:t xml:space="preserve">O relatório técnico deve conter, no mínimo 12 (doze) e no máximo 18 (dezoito) páginas e estar no formato .PDF. </w:t>
      </w:r>
      <w:r w:rsidRPr="00A227B8">
        <w:rPr>
          <w:b/>
        </w:rPr>
        <w:t>Relatórios com mais de 18 páginas NÃO serão aceitos</w:t>
      </w:r>
      <w:r>
        <w:t xml:space="preserve">. </w:t>
      </w:r>
    </w:p>
    <w:p w14:paraId="4FC963D4" w14:textId="77777777" w:rsidR="00A227B8" w:rsidRDefault="00A227B8">
      <w:pPr>
        <w:pStyle w:val="Corpodetexto"/>
        <w:spacing w:after="0" w:line="360" w:lineRule="auto"/>
      </w:pPr>
      <w:r>
        <w:t xml:space="preserve">Sugere-se a seguinte estrutura para o desenvolvimento do trabalho: </w:t>
      </w:r>
    </w:p>
    <w:p w14:paraId="4982CA70" w14:textId="35F86E5C" w:rsidR="00A227B8" w:rsidRDefault="00A227B8" w:rsidP="00E725F6">
      <w:pPr>
        <w:pStyle w:val="Corpodetexto"/>
        <w:numPr>
          <w:ilvl w:val="0"/>
          <w:numId w:val="7"/>
        </w:numPr>
        <w:spacing w:after="0" w:line="360" w:lineRule="auto"/>
      </w:pPr>
      <w:r>
        <w:t xml:space="preserve">Introdução; </w:t>
      </w:r>
    </w:p>
    <w:p w14:paraId="4D2F9874" w14:textId="2E05FE36" w:rsidR="00E725F6" w:rsidRDefault="00E725F6" w:rsidP="00E725F6">
      <w:pPr>
        <w:pStyle w:val="Corpodetexto"/>
        <w:numPr>
          <w:ilvl w:val="0"/>
          <w:numId w:val="7"/>
        </w:numPr>
        <w:spacing w:after="0" w:line="360" w:lineRule="auto"/>
      </w:pPr>
      <w:r>
        <w:t>Referencial Teórico (Opcional)</w:t>
      </w:r>
    </w:p>
    <w:p w14:paraId="589DF6E3" w14:textId="77777777" w:rsidR="00A227B8" w:rsidRDefault="00A227B8">
      <w:pPr>
        <w:pStyle w:val="Corpodetexto"/>
        <w:spacing w:after="0" w:line="360" w:lineRule="auto"/>
      </w:pPr>
      <w:r>
        <w:t xml:space="preserve">b) Contexto investigado; </w:t>
      </w:r>
    </w:p>
    <w:p w14:paraId="2BB499A6" w14:textId="77777777" w:rsidR="00A227B8" w:rsidRDefault="00A227B8">
      <w:pPr>
        <w:pStyle w:val="Corpodetexto"/>
        <w:spacing w:after="0" w:line="360" w:lineRule="auto"/>
      </w:pPr>
      <w:r>
        <w:t xml:space="preserve">c) Diagnóstico da situação problema; </w:t>
      </w:r>
    </w:p>
    <w:p w14:paraId="5C2A26E0" w14:textId="77777777" w:rsidR="00A227B8" w:rsidRDefault="00A227B8">
      <w:pPr>
        <w:pStyle w:val="Corpodetexto"/>
        <w:spacing w:after="0" w:line="360" w:lineRule="auto"/>
      </w:pPr>
      <w:r>
        <w:t xml:space="preserve">d) Análise da situação problema; </w:t>
      </w:r>
    </w:p>
    <w:p w14:paraId="533A07D6" w14:textId="5822352B" w:rsidR="00004937" w:rsidRDefault="00A227B8">
      <w:pPr>
        <w:pStyle w:val="Corpodetexto"/>
        <w:spacing w:after="0" w:line="360" w:lineRule="auto"/>
      </w:pPr>
      <w:r>
        <w:t>e) Contribuição tecnológico-social; e</w:t>
      </w:r>
    </w:p>
    <w:p w14:paraId="335E8BA3" w14:textId="6EFFA847" w:rsidR="00A227B8" w:rsidRDefault="00FA4221">
      <w:pPr>
        <w:pStyle w:val="Corpodetexto"/>
        <w:spacing w:after="0" w:line="360" w:lineRule="auto"/>
      </w:pPr>
      <w:r>
        <w:t>f) Referências B</w:t>
      </w:r>
      <w:r w:rsidR="00A227B8">
        <w:t>ibliográficas</w:t>
      </w:r>
    </w:p>
    <w:p w14:paraId="160CCADD" w14:textId="77777777" w:rsidR="00A227B8" w:rsidRDefault="00A227B8">
      <w:pPr>
        <w:pStyle w:val="Corpodetexto"/>
        <w:spacing w:after="0" w:line="360" w:lineRule="auto"/>
        <w:rPr>
          <w:lang w:val="pt-BR"/>
        </w:rPr>
      </w:pPr>
    </w:p>
    <w:p w14:paraId="744B7CDF" w14:textId="7090F57F" w:rsidR="00004937" w:rsidRDefault="00046764">
      <w:pPr>
        <w:pStyle w:val="Ttulo2"/>
        <w:spacing w:line="360" w:lineRule="auto"/>
      </w:pPr>
      <w:r>
        <w:t>3</w:t>
      </w:r>
      <w:r w:rsidR="00547F38">
        <w:t>. INSTRUÇÕES GERAIS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77777777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/>
    <w:p w14:paraId="0DC2C664" w14:textId="1B830071" w:rsidR="00004937" w:rsidRDefault="00046764">
      <w:pPr>
        <w:pStyle w:val="Ttulo2"/>
        <w:spacing w:line="360" w:lineRule="auto"/>
      </w:pPr>
      <w:r>
        <w:lastRenderedPageBreak/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2FA17D24" w:rsidR="00004937" w:rsidRDefault="00547F38">
      <w:pPr>
        <w:ind w:firstLine="708"/>
        <w:jc w:val="both"/>
        <w:rPr>
          <w:bCs/>
        </w:rPr>
      </w:pPr>
      <w:r>
        <w:rPr>
          <w:bCs/>
        </w:rPr>
        <w:t>O trabalho deverá obedecer às normas da ABNT</w:t>
      </w:r>
      <w:r w:rsidR="00C70E40">
        <w:rPr>
          <w:bCs/>
        </w:rPr>
        <w:t xml:space="preserve"> ou APA</w:t>
      </w:r>
      <w:r>
        <w:rPr>
          <w:bCs/>
        </w:rPr>
        <w:t xml:space="preserve">. </w:t>
      </w:r>
      <w:r>
        <w:t>As citações devem ser feitas conforme a NBR 10520 (ASSOCIAÇÃO BRASILEIRA DE NORMAS TÉCNICAS, 2002a).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CD1B70E" w:rsidR="00004937" w:rsidRDefault="00547F38">
      <w:pPr>
        <w:ind w:firstLine="708"/>
        <w:jc w:val="both"/>
        <w:rPr>
          <w:bCs/>
        </w:rPr>
      </w:pPr>
      <w:r>
        <w:rPr>
          <w:bCs/>
        </w:rPr>
        <w:t>O corpo do texto deve iniciar logo abaixo dos títulos das seções e respectivos subtítulos sendo utilizada fonte Times New Roma</w:t>
      </w:r>
      <w:r w:rsidR="00E725F6">
        <w:rPr>
          <w:bCs/>
        </w:rPr>
        <w:t>n</w:t>
      </w:r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</w:t>
      </w:r>
      <w:proofErr w:type="spellStart"/>
      <w:r>
        <w:rPr>
          <w:lang w:val="pt-BR"/>
        </w:rPr>
        <w:t>desconfiguração</w:t>
      </w:r>
      <w:proofErr w:type="spellEnd"/>
      <w:r>
        <w:rPr>
          <w:lang w:val="pt-BR"/>
        </w:rPr>
        <w:t xml:space="preserve">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44464A68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</w:t>
      </w:r>
      <w:r w:rsidR="00E725F6">
        <w:rPr>
          <w:sz w:val="20"/>
          <w:szCs w:val="20"/>
        </w:rPr>
        <w:t>ttadia</w:t>
      </w:r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  <w:bookmarkStart w:id="0" w:name="_GoBack"/>
      <w:bookmarkEnd w:id="0"/>
    </w:p>
    <w:p w14:paraId="1CE7C547" w14:textId="5F026D48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(dez). Quanto à fonte da tabela, deverá ser informada logo abaixo da mesma, informando a autoria própria e/ou a referência bibliográfica, caso haja. A fonte deverá estar alinhada à esquerda</w:t>
      </w:r>
      <w:r w:rsidR="00AB7FEC">
        <w:rPr>
          <w:lang w:val="pt-BR"/>
        </w:rPr>
        <w:t>.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57A1501F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E725F6">
        <w:rPr>
          <w:b/>
          <w:lang w:val="pt-BR"/>
        </w:rPr>
        <w:t xml:space="preserve"> 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0CA145E2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E725F6">
        <w:rPr>
          <w:sz w:val="20"/>
          <w:szCs w:val="20"/>
        </w:rPr>
        <w:t>Elaboração própria, a partir dos d</w:t>
      </w:r>
      <w:r>
        <w:rPr>
          <w:sz w:val="20"/>
          <w:szCs w:val="20"/>
        </w:rPr>
        <w:t>ados da pesquisa</w:t>
      </w:r>
    </w:p>
    <w:p w14:paraId="33788F99" w14:textId="77777777" w:rsidR="00004937" w:rsidRDefault="00004937">
      <w:pPr>
        <w:rPr>
          <w:lang w:val="it-IT"/>
        </w:rPr>
      </w:pPr>
    </w:p>
    <w:p w14:paraId="3329B75A" w14:textId="77777777" w:rsidR="00004937" w:rsidRDefault="00004937">
      <w:pPr>
        <w:pStyle w:val="Corpodetexto"/>
        <w:spacing w:after="0"/>
        <w:rPr>
          <w:lang w:val="pt-BR"/>
        </w:rPr>
      </w:pPr>
    </w:p>
    <w:p w14:paraId="626BB835" w14:textId="30D91DE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E725F6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5986B227" w14:textId="77777777" w:rsidR="00004937" w:rsidRDefault="00547F38">
      <w:pPr>
        <w:rPr>
          <w:szCs w:val="20"/>
        </w:rPr>
      </w:pPr>
      <w:r>
        <w:br w:type="page"/>
      </w:r>
    </w:p>
    <w:p w14:paraId="1F6D6766" w14:textId="77777777" w:rsidR="00004937" w:rsidRDefault="00004937">
      <w:pPr>
        <w:pStyle w:val="Corpodetexto"/>
        <w:spacing w:after="0"/>
        <w:rPr>
          <w:lang w:val="pt-BR"/>
        </w:rPr>
      </w:pPr>
    </w:p>
    <w:p w14:paraId="432476BE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Ambição, visão ampla, eficácia, </w:t>
            </w:r>
            <w:proofErr w:type="spellStart"/>
            <w:r>
              <w:rPr>
                <w:sz w:val="20"/>
                <w:szCs w:val="20"/>
              </w:rPr>
              <w:t>prestatividade</w:t>
            </w:r>
            <w:proofErr w:type="spellEnd"/>
            <w:r>
              <w:rPr>
                <w:sz w:val="20"/>
                <w:szCs w:val="20"/>
              </w:rPr>
              <w:t>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6F760384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E725F6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686E5B98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7777777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 xml:space="preserve">Informação e Documentação </w:t>
      </w:r>
      <w:proofErr w:type="gramStart"/>
      <w:r w:rsidRPr="00731A4C">
        <w:rPr>
          <w:bCs/>
        </w:rPr>
        <w:t>-  Trabalhos</w:t>
      </w:r>
      <w:proofErr w:type="gramEnd"/>
      <w:r w:rsidRPr="00731A4C">
        <w:rPr>
          <w:bCs/>
        </w:rPr>
        <w:t xml:space="preserve">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lastRenderedPageBreak/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proofErr w:type="spellStart"/>
      <w:r w:rsidRPr="003C6508">
        <w:rPr>
          <w:b/>
        </w:rPr>
        <w:t>Gestão&amp;Produção</w:t>
      </w:r>
      <w:proofErr w:type="spellEnd"/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7777777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E725F6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042B" w14:textId="77777777" w:rsidR="0082010A" w:rsidRDefault="0082010A">
      <w:r>
        <w:separator/>
      </w:r>
    </w:p>
  </w:endnote>
  <w:endnote w:type="continuationSeparator" w:id="0">
    <w:p w14:paraId="48559CE8" w14:textId="77777777" w:rsidR="0082010A" w:rsidRDefault="0082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7B59A9AA" w:rsidR="00004937" w:rsidRPr="00731A4C" w:rsidRDefault="00547F38">
    <w:pPr>
      <w:pStyle w:val="Rodap"/>
      <w:spacing w:before="360"/>
    </w:pPr>
    <w:r w:rsidRPr="00731A4C">
      <w:rPr>
        <w:sz w:val="18"/>
        <w:szCs w:val="18"/>
      </w:rPr>
      <w:t>I</w:t>
    </w:r>
    <w:r w:rsidR="00C70E40">
      <w:rPr>
        <w:sz w:val="18"/>
        <w:szCs w:val="18"/>
      </w:rPr>
      <w:t>V</w:t>
    </w:r>
    <w:r w:rsidRPr="00731A4C">
      <w:rPr>
        <w:sz w:val="18"/>
        <w:szCs w:val="18"/>
      </w:rPr>
      <w:t xml:space="preserve"> SIMPÓSIO EM GESTÃO DO AGRONEGÓCIO. </w:t>
    </w:r>
    <w:r w:rsidR="00BE4251" w:rsidRPr="00BE4251">
      <w:rPr>
        <w:b/>
        <w:sz w:val="18"/>
        <w:szCs w:val="18"/>
      </w:rPr>
      <w:t>Empreendedorismo n</w:t>
    </w:r>
    <w:r w:rsidR="008A27B7" w:rsidRPr="00BE4251">
      <w:rPr>
        <w:b/>
        <w:sz w:val="18"/>
        <w:szCs w:val="18"/>
      </w:rPr>
      <w:t>o</w:t>
    </w:r>
    <w:r w:rsidR="008A27B7" w:rsidRPr="00731A4C">
      <w:rPr>
        <w:b/>
        <w:sz w:val="18"/>
        <w:szCs w:val="18"/>
      </w:rPr>
      <w:t xml:space="preserve"> Agronegócio</w:t>
    </w:r>
    <w:r w:rsidR="008A27B7" w:rsidRPr="00731A4C">
      <w:rPr>
        <w:sz w:val="18"/>
        <w:szCs w:val="18"/>
      </w:rPr>
      <w:t>, Jaboticabal: 0</w:t>
    </w:r>
    <w:r w:rsidR="00C70E40">
      <w:rPr>
        <w:sz w:val="18"/>
        <w:szCs w:val="18"/>
      </w:rPr>
      <w:t>5</w:t>
    </w:r>
    <w:r w:rsidR="008A27B7" w:rsidRPr="00731A4C">
      <w:rPr>
        <w:sz w:val="18"/>
        <w:szCs w:val="18"/>
      </w:rPr>
      <w:t xml:space="preserve"> a 0</w:t>
    </w:r>
    <w:r w:rsidR="00C70E40">
      <w:rPr>
        <w:sz w:val="18"/>
        <w:szCs w:val="18"/>
      </w:rPr>
      <w:t>7</w:t>
    </w:r>
    <w:r w:rsidRPr="00731A4C">
      <w:rPr>
        <w:sz w:val="18"/>
        <w:szCs w:val="18"/>
      </w:rPr>
      <w:t xml:space="preserve"> de </w:t>
    </w:r>
    <w:r w:rsidR="00E725F6">
      <w:rPr>
        <w:sz w:val="18"/>
        <w:szCs w:val="18"/>
      </w:rPr>
      <w:t>j</w:t>
    </w:r>
    <w:r w:rsidRPr="00731A4C">
      <w:rPr>
        <w:sz w:val="18"/>
        <w:szCs w:val="18"/>
      </w:rPr>
      <w:t>unho de 201</w:t>
    </w:r>
    <w:r w:rsidR="00C70E40">
      <w:rPr>
        <w:sz w:val="18"/>
        <w:szCs w:val="18"/>
      </w:rPr>
      <w:t>9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37CF7" w14:textId="77777777" w:rsidR="0082010A" w:rsidRDefault="0082010A">
      <w:r>
        <w:separator/>
      </w:r>
    </w:p>
  </w:footnote>
  <w:footnote w:type="continuationSeparator" w:id="0">
    <w:p w14:paraId="253056E5" w14:textId="77777777" w:rsidR="0082010A" w:rsidRDefault="00820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56767A4A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284897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473BA6B0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84897" w:rsidRPr="00284897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284897" w:rsidRPr="00284897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AE442B"/>
    <w:multiLevelType w:val="hybridMultilevel"/>
    <w:tmpl w:val="4C082A66"/>
    <w:lvl w:ilvl="0" w:tplc="465E0B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4937"/>
    <w:rsid w:val="00046764"/>
    <w:rsid w:val="000F5CC5"/>
    <w:rsid w:val="00231556"/>
    <w:rsid w:val="00284897"/>
    <w:rsid w:val="00287814"/>
    <w:rsid w:val="003C6508"/>
    <w:rsid w:val="00493A85"/>
    <w:rsid w:val="004D432F"/>
    <w:rsid w:val="005346BA"/>
    <w:rsid w:val="00547F38"/>
    <w:rsid w:val="00565DF4"/>
    <w:rsid w:val="00731A4C"/>
    <w:rsid w:val="0082010A"/>
    <w:rsid w:val="008669EA"/>
    <w:rsid w:val="008A27B7"/>
    <w:rsid w:val="008A71F8"/>
    <w:rsid w:val="00917C5F"/>
    <w:rsid w:val="009A49CD"/>
    <w:rsid w:val="00A227B8"/>
    <w:rsid w:val="00A97E9D"/>
    <w:rsid w:val="00AA2557"/>
    <w:rsid w:val="00AB7FEC"/>
    <w:rsid w:val="00AC5B08"/>
    <w:rsid w:val="00AC74B2"/>
    <w:rsid w:val="00B069FD"/>
    <w:rsid w:val="00B66D6F"/>
    <w:rsid w:val="00BE4251"/>
    <w:rsid w:val="00C05F7F"/>
    <w:rsid w:val="00C70E40"/>
    <w:rsid w:val="00C966F1"/>
    <w:rsid w:val="00D7550B"/>
    <w:rsid w:val="00E725F6"/>
    <w:rsid w:val="00F13564"/>
    <w:rsid w:val="00FA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690DE478-081B-43CC-BBC8-433F55EC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1775</Words>
  <Characters>9586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David</cp:lastModifiedBy>
  <cp:revision>3</cp:revision>
  <dcterms:created xsi:type="dcterms:W3CDTF">2018-11-06T16:33:00Z</dcterms:created>
  <dcterms:modified xsi:type="dcterms:W3CDTF">2018-11-06T16:46:00Z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