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BF74A">
      <w:pPr>
        <w:spacing w:before="197" w:line="230" w:lineRule="auto"/>
        <w:ind w:left="336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20</w:t>
      </w:r>
      <w:r>
        <w:rPr>
          <w:rFonts w:hint="eastAsia" w:ascii="宋体" w:hAnsi="宋体" w:eastAsia="宋体" w:cs="宋体"/>
          <w:spacing w:val="-1"/>
        </w:rPr>
        <w:t>2</w:t>
      </w:r>
      <w:r>
        <w:rPr>
          <w:rFonts w:hint="eastAsia" w:ascii="宋体" w:hAnsi="宋体" w:eastAsia="宋体" w:cs="宋体"/>
          <w:spacing w:val="-1"/>
          <w:lang w:val="en-US" w:eastAsia="zh-CN"/>
        </w:rPr>
        <w:t>5</w:t>
      </w:r>
      <w:r>
        <w:rPr>
          <w:rFonts w:hint="eastAsia" w:ascii="宋体" w:hAnsi="宋体" w:eastAsia="宋体" w:cs="宋体"/>
          <w:spacing w:val="-1"/>
        </w:rPr>
        <w:t>—202</w:t>
      </w:r>
      <w:r>
        <w:rPr>
          <w:rFonts w:hint="eastAsia" w:ascii="宋体" w:hAnsi="宋体" w:eastAsia="宋体" w:cs="宋体"/>
          <w:spacing w:val="-1"/>
          <w:lang w:val="en-US" w:eastAsia="zh-CN"/>
        </w:rPr>
        <w:t>6</w:t>
      </w:r>
      <w:r>
        <w:rPr>
          <w:rFonts w:hint="eastAsia" w:ascii="宋体" w:hAnsi="宋体" w:eastAsia="宋体" w:cs="宋体"/>
          <w:spacing w:val="-1"/>
        </w:rPr>
        <w:t>学年  第</w:t>
      </w:r>
      <w:r>
        <w:rPr>
          <w:rFonts w:hint="eastAsia" w:ascii="宋体" w:hAnsi="宋体" w:eastAsia="宋体" w:cs="宋体"/>
          <w:spacing w:val="-1"/>
          <w:u w:val="single"/>
        </w:rPr>
        <w:t xml:space="preserve">   一  </w:t>
      </w:r>
      <w:r>
        <w:rPr>
          <w:rFonts w:hint="eastAsia" w:ascii="宋体" w:hAnsi="宋体" w:eastAsia="宋体" w:cs="宋体"/>
          <w:spacing w:val="-1"/>
        </w:rPr>
        <w:t xml:space="preserve"> 学期  系 (部)：</w:t>
      </w:r>
      <w:r>
        <w:rPr>
          <w:rFonts w:hint="eastAsia" w:ascii="宋体" w:hAnsi="宋体" w:eastAsia="宋体" w:cs="宋体"/>
          <w:spacing w:val="-1"/>
          <w:u w:val="single"/>
        </w:rPr>
        <w:t xml:space="preserve">  人工智能产业系       </w:t>
      </w:r>
      <w:r>
        <w:rPr>
          <w:rFonts w:hint="eastAsia" w:ascii="宋体" w:hAnsi="宋体" w:eastAsia="宋体" w:cs="宋体"/>
          <w:spacing w:val="-1"/>
        </w:rPr>
        <w:t>授课教师：</w:t>
      </w:r>
      <w:r>
        <w:rPr>
          <w:rFonts w:hint="eastAsia" w:ascii="宋体" w:hAnsi="宋体" w:eastAsia="宋体" w:cs="宋体"/>
          <w:u w:val="single"/>
        </w:rPr>
        <w:t xml:space="preserve">    </w:t>
      </w:r>
      <w:r>
        <w:rPr>
          <w:rFonts w:hint="eastAsia" w:ascii="宋体" w:hAnsi="宋体" w:eastAsia="宋体" w:cs="宋体"/>
          <w:u w:val="single"/>
          <w:lang w:val="en-US" w:eastAsia="zh-CN"/>
        </w:rPr>
        <w:t>刘达康</w:t>
      </w:r>
      <w:r>
        <w:rPr>
          <w:rFonts w:hint="eastAsia" w:ascii="宋体" w:hAnsi="宋体" w:eastAsia="宋体" w:cs="宋体"/>
          <w:u w:val="single"/>
        </w:rPr>
        <w:t xml:space="preserve">       </w:t>
      </w:r>
    </w:p>
    <w:p w14:paraId="11C750CE"/>
    <w:p w14:paraId="244DCE91">
      <w:pPr>
        <w:spacing w:line="118" w:lineRule="exact"/>
      </w:pPr>
    </w:p>
    <w:tbl>
      <w:tblPr>
        <w:tblStyle w:val="14"/>
        <w:tblW w:w="950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1"/>
        <w:gridCol w:w="1035"/>
        <w:gridCol w:w="1379"/>
        <w:gridCol w:w="1544"/>
        <w:gridCol w:w="2723"/>
      </w:tblGrid>
      <w:tr w14:paraId="04ACE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2821" w:type="dxa"/>
          </w:tcPr>
          <w:p w14:paraId="75623DDD">
            <w:pPr>
              <w:spacing w:before="191" w:line="222" w:lineRule="auto"/>
              <w:ind w:left="869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课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程名称</w:t>
            </w:r>
          </w:p>
        </w:tc>
        <w:tc>
          <w:tcPr>
            <w:tcW w:w="3958" w:type="dxa"/>
            <w:gridSpan w:val="3"/>
            <w:vAlign w:val="center"/>
          </w:tcPr>
          <w:p w14:paraId="382A37F8">
            <w:pPr>
              <w:tabs>
                <w:tab w:val="left" w:pos="994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云服务实践</w:t>
            </w:r>
          </w:p>
        </w:tc>
        <w:tc>
          <w:tcPr>
            <w:tcW w:w="2723" w:type="dxa"/>
            <w:vMerge w:val="restart"/>
            <w:tcBorders>
              <w:bottom w:val="nil"/>
            </w:tcBorders>
          </w:tcPr>
          <w:p w14:paraId="6FA254D4">
            <w:pPr>
              <w:spacing w:before="193" w:line="222" w:lineRule="auto"/>
              <w:ind w:left="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8"/>
                <w:sz w:val="28"/>
                <w:szCs w:val="28"/>
              </w:rPr>
              <w:t>审阅签名：</w:t>
            </w:r>
          </w:p>
          <w:p w14:paraId="40D1DD30">
            <w:pPr>
              <w:spacing w:before="91" w:line="223" w:lineRule="auto"/>
              <w:ind w:firstLine="588" w:firstLineChars="20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7"/>
                <w:sz w:val="28"/>
                <w:szCs w:val="28"/>
              </w:rPr>
              <w:t>年</w:t>
            </w:r>
            <w:r>
              <w:rPr>
                <w:rFonts w:ascii="Times New Roman" w:hAnsi="Times New Roman" w:eastAsia="仿宋" w:cs="Times New Roman"/>
                <w:spacing w:val="6"/>
                <w:sz w:val="28"/>
                <w:szCs w:val="28"/>
              </w:rPr>
              <w:t xml:space="preserve">   月   日</w:t>
            </w:r>
          </w:p>
        </w:tc>
      </w:tr>
      <w:tr w14:paraId="6E7B3B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821" w:type="dxa"/>
          </w:tcPr>
          <w:p w14:paraId="4448DEF9">
            <w:pPr>
              <w:spacing w:before="190" w:line="222" w:lineRule="auto"/>
              <w:ind w:left="1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课题</w:t>
            </w:r>
          </w:p>
        </w:tc>
        <w:tc>
          <w:tcPr>
            <w:tcW w:w="3958" w:type="dxa"/>
            <w:gridSpan w:val="3"/>
            <w:vAlign w:val="center"/>
          </w:tcPr>
          <w:p>
            <w:r>
              <w:t>第5周：虚拟化平台部署与管理——获取需求</w:t>
            </w:r>
          </w:p>
        </w:tc>
        <w:tc>
          <w:tcPr>
            <w:tcW w:w="2723" w:type="dxa"/>
            <w:vMerge w:val="continue"/>
            <w:tcBorders>
              <w:top w:val="nil"/>
              <w:bottom w:val="nil"/>
            </w:tcBorders>
          </w:tcPr>
          <w:p w14:paraId="61809599">
            <w:pPr>
              <w:rPr>
                <w:rFonts w:ascii="Times New Roman" w:hAnsi="Times New Roman" w:cs="Times New Roman"/>
              </w:rPr>
            </w:pPr>
          </w:p>
        </w:tc>
      </w:tr>
      <w:tr w14:paraId="4EB5BC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7447F5CF">
            <w:pPr>
              <w:spacing w:before="187" w:line="224" w:lineRule="auto"/>
              <w:ind w:left="1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班级</w:t>
            </w:r>
          </w:p>
        </w:tc>
        <w:tc>
          <w:tcPr>
            <w:tcW w:w="3958" w:type="dxa"/>
            <w:gridSpan w:val="3"/>
            <w:vAlign w:val="center"/>
          </w:tcPr>
          <w:p w14:paraId="5DF3614D">
            <w:pPr>
              <w:tabs>
                <w:tab w:val="left" w:pos="1476"/>
              </w:tabs>
              <w:jc w:val="center"/>
              <w:rPr>
                <w:rFonts w:hint="default" w:ascii="Times New Roman" w:hAnsi="Times New Roman" w:eastAsia="仿宋" w:cs="Times New Roman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2023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人工智能1班</w:t>
            </w:r>
          </w:p>
        </w:tc>
        <w:tc>
          <w:tcPr>
            <w:tcW w:w="2723" w:type="dxa"/>
            <w:vMerge w:val="continue"/>
            <w:tcBorders>
              <w:top w:val="nil"/>
              <w:bottom w:val="nil"/>
            </w:tcBorders>
          </w:tcPr>
          <w:p w14:paraId="1E3FE0AA">
            <w:pPr>
              <w:rPr>
                <w:rFonts w:ascii="Times New Roman" w:hAnsi="Times New Roman" w:cs="Times New Roman"/>
              </w:rPr>
            </w:pPr>
          </w:p>
        </w:tc>
      </w:tr>
      <w:tr w14:paraId="0EAB7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268B11DC">
            <w:pPr>
              <w:spacing w:before="190" w:line="222" w:lineRule="auto"/>
              <w:ind w:left="1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课时</w:t>
            </w:r>
          </w:p>
        </w:tc>
        <w:tc>
          <w:tcPr>
            <w:tcW w:w="1035" w:type="dxa"/>
            <w:vAlign w:val="center"/>
          </w:tcPr>
          <w:p w14:paraId="60863A97">
            <w:pPr>
              <w:spacing w:before="190" w:line="222" w:lineRule="auto"/>
              <w:jc w:val="center"/>
              <w:rPr>
                <w:rFonts w:hint="default" w:ascii="Times New Roman" w:hAnsi="Times New Roman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  <w:lang w:val="en-US" w:eastAsia="zh-CN"/>
              </w:rPr>
              <w:t>6节</w:t>
            </w:r>
          </w:p>
        </w:tc>
        <w:tc>
          <w:tcPr>
            <w:tcW w:w="1379" w:type="dxa"/>
            <w:vAlign w:val="center"/>
          </w:tcPr>
          <w:p w14:paraId="04E553F2">
            <w:pPr>
              <w:spacing w:before="190" w:line="222" w:lineRule="auto"/>
              <w:ind w:left="146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6"/>
                <w:sz w:val="28"/>
                <w:szCs w:val="28"/>
              </w:rPr>
              <w:t>授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课日期</w:t>
            </w:r>
          </w:p>
        </w:tc>
        <w:tc>
          <w:tcPr>
            <w:tcW w:w="1544" w:type="dxa"/>
            <w:vAlign w:val="center"/>
          </w:tcPr>
          <w:p>
            <w:r>
              <w:t>2026年4月X日</w:t>
            </w:r>
          </w:p>
        </w:tc>
        <w:tc>
          <w:tcPr>
            <w:tcW w:w="2723" w:type="dxa"/>
            <w:vMerge w:val="continue"/>
            <w:tcBorders>
              <w:top w:val="nil"/>
            </w:tcBorders>
          </w:tcPr>
          <w:p w14:paraId="6566B785">
            <w:pPr>
              <w:rPr>
                <w:rFonts w:ascii="Times New Roman" w:hAnsi="Times New Roman" w:cs="Times New Roman"/>
              </w:rPr>
            </w:pPr>
          </w:p>
        </w:tc>
      </w:tr>
      <w:tr w14:paraId="6B6767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2BB39BC9">
            <w:pPr>
              <w:spacing w:before="189" w:line="222" w:lineRule="auto"/>
              <w:ind w:left="586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教学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内容分析</w:t>
            </w:r>
          </w:p>
        </w:tc>
        <w:tc>
          <w:tcPr>
            <w:tcW w:w="6681" w:type="dxa"/>
            <w:gridSpan w:val="4"/>
          </w:tcPr>
          <w:p>
            <w:r>
              <w:t>本课是虚拟化平台部署与管理学习项目的起始阶段，承接上周LAMP服务器部署项目，进入企业级虚拟化技术领域。本周的核心任务是引导学生理解虚拟化技术的基本概念、技术优势及分类体系，通过对比分析VMware、KVM、Hyper-V等主流虚拟化平台，掌握客户需求调研的方法与技巧。这是构建企业级虚拟化平台的认知与需求分析阶段，直接对接企业云计算工程师'虚拟化平台选型与规划'的核心职业能力，涉及技术调研、需求分析和方案预研等关键技能。</w:t>
            </w:r>
          </w:p>
        </w:tc>
      </w:tr>
      <w:tr w14:paraId="711A91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3F1294F6">
            <w:pPr>
              <w:spacing w:before="191" w:line="222" w:lineRule="auto"/>
              <w:ind w:left="88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情分析</w:t>
            </w:r>
          </w:p>
        </w:tc>
        <w:tc>
          <w:tcPr>
            <w:tcW w:w="6681" w:type="dxa"/>
            <w:gridSpan w:val="4"/>
          </w:tcPr>
          <w:p w14:paraId="46DAF2C8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一、学情分析</w:t>
            </w:r>
          </w:p>
          <w:p w14:paraId="57BCDEA9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2023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人工智能1班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是初中毕业班，一共3</w:t>
            </w:r>
            <w:r>
              <w:rPr>
                <w:rFonts w:hint="eastAsia" w:ascii="楷体" w:hAnsi="楷体" w:cs="楷体"/>
                <w:kern w:val="2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人，授课时间为该班第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学年第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学期。</w:t>
            </w:r>
          </w:p>
          <w:p w14:paraId="58101FF1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1.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ab/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 xml:space="preserve">学习基础： </w:t>
            </w:r>
          </w:p>
          <w:p w14:paraId="1C6D5935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该班大部分学生的创造性思维能力较好，但逻辑思维能力还有所欠缺。经过前面课程的学习，学生对于人工智能大模型的概念有了初步的认识和了解，能够使用常见的大模型，如文心一言。</w:t>
            </w:r>
          </w:p>
          <w:p w14:paraId="3D94AA09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 xml:space="preserve">2.学习态度： </w:t>
            </w:r>
          </w:p>
          <w:p w14:paraId="6A6F50A8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大部分学生态度认真，喜欢动手钻研，且能接受直观的学习，容易畏难，能完成自我探索过程；个别同学积极性不高，对于知识缺乏好奇心和兴趣。</w:t>
            </w:r>
          </w:p>
          <w:p w14:paraId="686395E8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 xml:space="preserve">3.学习习惯： </w:t>
            </w:r>
          </w:p>
          <w:p w14:paraId="6AC3C6F7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大部分学生能积极参与课堂互动，能够独立思考。少部分学生缺乏主动性，且上课容易分心。</w:t>
            </w:r>
          </w:p>
          <w:p w14:paraId="5E2A0290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二、应对策略</w:t>
            </w:r>
          </w:p>
          <w:p w14:paraId="2BF9B4EC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根据“目标引领、任务驱动、因材施教、关注差异”的教学思想，在学习内容和教学方法的选择上，采取了以下的策略：</w:t>
            </w:r>
          </w:p>
          <w:p w14:paraId="020D5FEA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1.学习内容选择策略</w:t>
            </w:r>
          </w:p>
          <w:p w14:paraId="422E187A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选择的学习内容应由简单到难，循序渐进。且尽可能与生活案例或者与学生感兴趣的话题进行联系，吸引学生注意力，提高学生学习兴趣。设计任务引导学生在做中学，小组成员发挥自己专长，合作完成，能力较强的同学负责项目实施推进，基础一般的同学完成基础性任务，并且在项目讨论、相互检查中成长。教师始终关注学生的个别差异，注意个别辅导。</w:t>
            </w:r>
          </w:p>
          <w:p w14:paraId="6EB96EFD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2.教学方法选择策略</w:t>
            </w:r>
          </w:p>
          <w:p w14:paraId="790EDFC3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讲授法：教师通过简明、生动的口头语言向学生传授知识，这是最常见的一种教学方法，适用于传授大量的基础知识。</w:t>
            </w:r>
          </w:p>
          <w:p w14:paraId="19E87D83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直观演示法：教师在课堂上通过展示实物、直观教具或进行示范性实验，让学生通过观察获得感性认识的教学方法。</w:t>
            </w:r>
          </w:p>
          <w:p w14:paraId="04676E4D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互动式教学法：教师与学生之间有较多的互动，如提问、反馈等</w:t>
            </w:r>
          </w:p>
          <w:p w14:paraId="291B99E8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案例教学法：通过详细分析具体案例，帮助学生理解和掌握知识，同时培养学生的批判性思维和解决问题的能力。</w:t>
            </w:r>
          </w:p>
          <w:p w14:paraId="3AC9A8DB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分组合作学习教学法：鼓励学生之间相互合作，共同学习，通过团队协作来达成学习目标，培养学生的合作精神和沟通能力。</w:t>
            </w:r>
          </w:p>
          <w:p w14:paraId="0DF33D70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项目教学法：强调学生在教师的引导下，通过完成一个具体的项目任务，来学习和掌握相关知识和技能。</w:t>
            </w:r>
          </w:p>
          <w:p w14:paraId="146141D1">
            <w:pPr>
              <w:ind w:firstLine="480" w:firstLineChars="200"/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角色扮演法：通过让学生扮演不同的角色，模拟真实或虚构的场景，以体验和了解角色的行为、情感和决策过程。</w:t>
            </w:r>
          </w:p>
        </w:tc>
      </w:tr>
      <w:tr w14:paraId="081C15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50339DD1">
            <w:pPr>
              <w:spacing w:before="189" w:line="223" w:lineRule="auto"/>
              <w:ind w:left="88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习目标</w:t>
            </w:r>
          </w:p>
        </w:tc>
        <w:tc>
          <w:tcPr>
            <w:tcW w:w="6681" w:type="dxa"/>
            <w:gridSpan w:val="4"/>
          </w:tcPr>
          <w:p>
            <w:r>
              <w:t>1. 能够理解虚拟化技术的基本概念、发展历程及在企业IT架构中的重要地位。</w:t>
              <w:br/>
              <w:t>2. 能够对比分析传统物理服务器与虚拟化服务器的优劣，阐述虚拟化技术的五大核心优势。</w:t>
              <w:br/>
              <w:t>3. 能够掌握虚拟化技术的分类体系（按资源角度和实现方式），区分平台虚拟化与操作系统虚拟化、裸机型与宿主型的技术差异。</w:t>
              <w:br/>
              <w:t>4. 能够对比分析VMware vSphere、KVM、Hyper-V等主流虚拟化平台的技术特点、适用场景及授权模式。</w:t>
              <w:br/>
              <w:t>5. 能够运用标准化客户需求调研表，与客户进行有效沟通并准确记录虚拟化平台建设需求。</w:t>
              <w:br/>
              <w:t>6. 能够在技术选型过程中，树立开源技术自信，关注国产虚拟化技术发展，培养客观理性的技术评估能力。（思政）</w:t>
              <w:br/>
              <w:t>7. 能够在需求调研中体现客户至上的服务意识，严谨细致地收集需求信息，培养专业的职业素养。（思政）</w:t>
            </w:r>
          </w:p>
        </w:tc>
      </w:tr>
      <w:tr w14:paraId="69F4E5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39BBBA04">
            <w:pPr>
              <w:spacing w:before="192" w:line="224" w:lineRule="auto"/>
              <w:ind w:left="315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重</w:t>
            </w:r>
            <w:r>
              <w:rPr>
                <w:rFonts w:ascii="Times New Roman" w:hAnsi="Times New Roman" w:eastAsia="仿宋" w:cs="Times New Roman"/>
                <w:spacing w:val="-3"/>
                <w:sz w:val="28"/>
                <w:szCs w:val="28"/>
              </w:rPr>
              <w:t>点及其突破方法</w:t>
            </w:r>
          </w:p>
        </w:tc>
        <w:tc>
          <w:tcPr>
            <w:tcW w:w="6681" w:type="dxa"/>
            <w:gridSpan w:val="4"/>
          </w:tcPr>
          <w:p>
            <w:r>
              <w:t>重点1：虚拟化技术的核心概念与五大优势的深刻理解。</w:t>
              <w:br/>
              <w:t>突破方法：采用'对比演示法'，通过物理服务器与虚拟化服务器的资源利用率对比图表，结合企业实际案例（如IDC机房空间节省数据），直观展示虚拟化的价值。</w:t>
              <w:br/>
              <w:t>重点2：虚拟化技术的分类体系及不同类型（裸机型/宿主型/容器型）的技术差异。</w:t>
              <w:br/>
              <w:t>突破方法：使用'架构图解法'，绘制Type I、Type II、容器虚拟化的层次架构图，通过颜色标注和层级对比，帮助学生建立清晰的技术分类认知。</w:t>
              <w:br/>
              <w:t>重点3：主流虚拟化平台（VMware/KVM/Hyper-V）的技术特点与选型对比。</w:t>
              <w:br/>
              <w:t>突破方法：提供标准化的'虚拟化平台对比分析表'模板，组织小组进行竞品分析，从技术架构、授权成本、生态支持等维度进行横向对比。</w:t>
            </w:r>
          </w:p>
        </w:tc>
      </w:tr>
      <w:tr w14:paraId="626EA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2821" w:type="dxa"/>
          </w:tcPr>
          <w:p w14:paraId="6836A012">
            <w:pPr>
              <w:spacing w:before="190" w:line="223" w:lineRule="auto"/>
              <w:ind w:left="30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难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点及其化解方法</w:t>
            </w:r>
          </w:p>
        </w:tc>
        <w:tc>
          <w:tcPr>
            <w:tcW w:w="6681" w:type="dxa"/>
            <w:gridSpan w:val="4"/>
          </w:tcPr>
          <w:p>
            <w:r>
              <w:t>难点1：将抽象的虚拟化技术概念转化为具体的业务价值理解。</w:t>
              <w:br/>
              <w:t>化解方法：通过'场景化案例教学法'，引入真实企业虚拟化改造案例，展示改造前后的资源利用率对比、成本节约数据，建立技术与业务的关联认知。</w:t>
              <w:br/>
              <w:t>难点2：理解不同虚拟化实现方式（全虚拟化、半虚拟化、硬件辅助虚拟化）的技术原理。</w:t>
              <w:br/>
              <w:t>化解方法：采用'分层剥离法'，从CPU指令集层面逐步讲解虚拟化技术的实现机制，使用类比法（如'翻译官模式'）解释VMM的作用。</w:t>
              <w:br/>
              <w:t>难点3：客观中立地进行多平台技术选型分析，避免技术偏见。</w:t>
              <w:br/>
              <w:t>化解方法：实施'角色扮演法'，让学生分组扮演不同厂商的技术顾问，从技术、成本、生态等维度进行辩论式学习，培养客观理性的技术评估能力。</w:t>
            </w:r>
          </w:p>
        </w:tc>
      </w:tr>
      <w:tr w14:paraId="10F404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821" w:type="dxa"/>
          </w:tcPr>
          <w:p w14:paraId="3A4CC848">
            <w:pPr>
              <w:spacing w:before="192" w:line="223" w:lineRule="auto"/>
              <w:ind w:left="586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教学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过程设计</w:t>
            </w:r>
          </w:p>
        </w:tc>
        <w:tc>
          <w:tcPr>
            <w:tcW w:w="6681" w:type="dxa"/>
            <w:gridSpan w:val="4"/>
          </w:tcPr>
          <w:p w14:paraId="3B23DD3C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334240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502027E0">
            <w:pPr>
              <w:spacing w:before="190" w:line="223" w:lineRule="auto"/>
              <w:ind w:left="86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学策略</w:t>
            </w:r>
          </w:p>
        </w:tc>
        <w:tc>
          <w:tcPr>
            <w:tcW w:w="6681" w:type="dxa"/>
            <w:gridSpan w:val="4"/>
          </w:tcPr>
          <w:p>
            <w:r>
              <w:t>对比演示法、架构图解法、角色扮演法、场景化案例教学法、分层剥离法。</w:t>
            </w:r>
          </w:p>
        </w:tc>
      </w:tr>
      <w:tr w14:paraId="37E518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22C0260C">
            <w:pPr>
              <w:spacing w:before="192" w:line="223" w:lineRule="auto"/>
              <w:ind w:left="166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教学环境及资源</w:t>
            </w:r>
            <w:r>
              <w:rPr>
                <w:rFonts w:ascii="Times New Roman" w:hAnsi="Times New Roman" w:eastAsia="仿宋" w:cs="Times New Roman"/>
                <w:spacing w:val="-1"/>
                <w:sz w:val="28"/>
                <w:szCs w:val="28"/>
              </w:rPr>
              <w:t>准备</w:t>
            </w:r>
          </w:p>
        </w:tc>
        <w:tc>
          <w:tcPr>
            <w:tcW w:w="6681" w:type="dxa"/>
            <w:gridSpan w:val="4"/>
          </w:tcPr>
          <w:p w14:paraId="55A84AF4">
            <w:pP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>设备、工量具、原材料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>电脑</w:t>
            </w:r>
          </w:p>
          <w:p w14:paraId="7AB2D8CA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>教学资源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 xml:space="preserve">参考教材√ 网络资源√ 微课O 评价表O 工作页√ 任务单√ </w:t>
            </w:r>
          </w:p>
        </w:tc>
      </w:tr>
      <w:tr w14:paraId="36120D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1CA9B25B">
            <w:pPr>
              <w:spacing w:before="191" w:line="223" w:lineRule="auto"/>
              <w:ind w:left="88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业评价</w:t>
            </w:r>
          </w:p>
        </w:tc>
        <w:tc>
          <w:tcPr>
            <w:tcW w:w="6681" w:type="dxa"/>
            <w:gridSpan w:val="4"/>
          </w:tcPr>
          <w:p>
            <w:r>
              <w:t>评价方式：虚拟化平台对比分析报告评审、客户需求调研表完整性检查、课堂参与度和小组汇报表现相结合。</w:t>
              <w:br/>
              <w:t>评价标准：</w:t>
              <w:br/>
              <w:t>【优】能够深入理解虚拟化技术的五大核心优势，并能结合实际案例进行阐述；能够准确绘制并解释三种虚拟化类型（裸机型/宿主型/容器型）的架构差异；虚拟化平台对比分析全面客观，涵盖技术架构、功能特性、授权成本、生态支持等多个维度；客户需求调研表填写完整规范，能够准确捕捉客户的显性和隐性需求；汇报表达清晰流畅，逻辑严密。</w:t>
              <w:br/>
              <w:t>【良】基本理解虚拟化技术的核心概念和主要优势；能够区分不同虚拟化类型的基本差异；平台对比分析涵盖主要维度但深度不足；需求调研表填写基本完整，能够记录客户的主要需求；汇报表达较为清晰，逻辑基本通顺。</w:t>
              <w:br/>
              <w:t>【差】对虚拟化技术概念理解模糊，无法准确阐述技术优势；混淆不同虚拟化类型的架构差异；平台对比分析片面，遗漏重要维度或存在明显错误；需求调研表填写不完整，遗漏关键需求信息；汇报表达混乱，逻辑不清。</w:t>
            </w:r>
          </w:p>
        </w:tc>
      </w:tr>
      <w:tr w14:paraId="7C7CA8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821" w:type="dxa"/>
          </w:tcPr>
          <w:p w14:paraId="067395B1">
            <w:pPr>
              <w:spacing w:before="192" w:line="224" w:lineRule="auto"/>
              <w:ind w:left="86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学反思</w:t>
            </w:r>
          </w:p>
        </w:tc>
        <w:tc>
          <w:tcPr>
            <w:tcW w:w="6681" w:type="dxa"/>
            <w:gridSpan w:val="4"/>
          </w:tcPr>
          <w:p w14:paraId="1AB752BF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</w:tbl>
    <w:p w14:paraId="575BD432"/>
    <w:p w14:paraId="73F0573F">
      <w:pPr>
        <w:sectPr>
          <w:headerReference r:id="rId3" w:type="default"/>
          <w:footerReference r:id="rId4" w:type="default"/>
          <w:pgSz w:w="11906" w:h="16839"/>
          <w:pgMar w:top="400" w:right="1143" w:bottom="1741" w:left="1255" w:header="0" w:footer="1467" w:gutter="0"/>
          <w:cols w:space="720" w:num="1"/>
        </w:sectPr>
      </w:pPr>
    </w:p>
    <w:p w14:paraId="65D9F1E6"/>
    <w:p w14:paraId="278601D3">
      <w:pPr>
        <w:spacing w:line="74" w:lineRule="exact"/>
      </w:pPr>
    </w:p>
    <w:tbl>
      <w:tblPr>
        <w:tblStyle w:val="14"/>
        <w:tblW w:w="141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6"/>
        <w:gridCol w:w="5887"/>
        <w:gridCol w:w="2288"/>
        <w:gridCol w:w="1975"/>
        <w:gridCol w:w="2507"/>
      </w:tblGrid>
      <w:tr w14:paraId="4DA099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153" w:type="dxa"/>
            <w:gridSpan w:val="5"/>
          </w:tcPr>
          <w:p w14:paraId="276EDA06">
            <w:pPr>
              <w:spacing w:before="177" w:line="223" w:lineRule="auto"/>
              <w:ind w:left="625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教学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过程设计</w:t>
            </w:r>
          </w:p>
        </w:tc>
      </w:tr>
      <w:tr w14:paraId="23096D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1496" w:type="dxa"/>
          </w:tcPr>
          <w:p w14:paraId="582F4DB9">
            <w:pPr>
              <w:spacing w:before="172" w:line="624" w:lineRule="exact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position w:val="26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position w:val="26"/>
                <w:sz w:val="28"/>
                <w:szCs w:val="28"/>
              </w:rPr>
              <w:t>学环节</w:t>
            </w:r>
          </w:p>
          <w:p w14:paraId="0340674A">
            <w:pPr>
              <w:spacing w:before="1" w:line="223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19"/>
                <w:sz w:val="28"/>
                <w:szCs w:val="28"/>
              </w:rPr>
              <w:t>(</w:t>
            </w:r>
            <w:r>
              <w:rPr>
                <w:rFonts w:ascii="Times New Roman" w:hAnsi="Times New Roman" w:eastAsia="仿宋" w:cs="Times New Roman"/>
                <w:spacing w:val="17"/>
                <w:sz w:val="28"/>
                <w:szCs w:val="28"/>
              </w:rPr>
              <w:t>含时间分配)</w:t>
            </w:r>
          </w:p>
        </w:tc>
        <w:tc>
          <w:tcPr>
            <w:tcW w:w="5887" w:type="dxa"/>
          </w:tcPr>
          <w:p w14:paraId="3A655E37">
            <w:pPr>
              <w:spacing w:line="391" w:lineRule="auto"/>
              <w:rPr>
                <w:rFonts w:ascii="Times New Roman" w:hAnsi="Times New Roman" w:cs="Times New Roman"/>
              </w:rPr>
            </w:pPr>
          </w:p>
          <w:p w14:paraId="1D86544C">
            <w:pPr>
              <w:spacing w:before="91" w:line="223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习内容</w:t>
            </w:r>
          </w:p>
        </w:tc>
        <w:tc>
          <w:tcPr>
            <w:tcW w:w="2288" w:type="dxa"/>
          </w:tcPr>
          <w:p w14:paraId="3D50CE1E">
            <w:pPr>
              <w:spacing w:line="390" w:lineRule="auto"/>
              <w:rPr>
                <w:rFonts w:ascii="Times New Roman" w:hAnsi="Times New Roman" w:cs="Times New Roman"/>
              </w:rPr>
            </w:pPr>
          </w:p>
          <w:p w14:paraId="46EEEA20">
            <w:pPr>
              <w:spacing w:before="91" w:line="224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生活动</w:t>
            </w:r>
          </w:p>
        </w:tc>
        <w:tc>
          <w:tcPr>
            <w:tcW w:w="1975" w:type="dxa"/>
          </w:tcPr>
          <w:p w14:paraId="4F6FD36E">
            <w:pPr>
              <w:spacing w:line="391" w:lineRule="auto"/>
              <w:rPr>
                <w:rFonts w:ascii="Times New Roman" w:hAnsi="Times New Roman" w:cs="Times New Roman"/>
              </w:rPr>
            </w:pPr>
          </w:p>
          <w:p w14:paraId="43EE56F0">
            <w:pPr>
              <w:spacing w:before="91" w:line="223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师活动</w:t>
            </w:r>
          </w:p>
        </w:tc>
        <w:tc>
          <w:tcPr>
            <w:tcW w:w="2507" w:type="dxa"/>
          </w:tcPr>
          <w:p w14:paraId="74307695">
            <w:pPr>
              <w:spacing w:before="172" w:line="624" w:lineRule="exact"/>
              <w:ind w:left="161"/>
              <w:rPr>
                <w:rFonts w:ascii="Times New Roman" w:hAnsi="Times New Roman" w:eastAsia="仿宋" w:cs="Times New Roman"/>
                <w:spacing w:val="6"/>
                <w:position w:val="26"/>
                <w:sz w:val="27"/>
                <w:szCs w:val="27"/>
              </w:rPr>
            </w:pPr>
            <w:r>
              <w:rPr>
                <w:rFonts w:ascii="Times New Roman" w:hAnsi="Times New Roman" w:eastAsia="仿宋" w:cs="Times New Roman"/>
                <w:spacing w:val="10"/>
                <w:position w:val="26"/>
                <w:sz w:val="27"/>
                <w:szCs w:val="27"/>
              </w:rPr>
              <w:t>教</w:t>
            </w:r>
            <w:r>
              <w:rPr>
                <w:rFonts w:ascii="Times New Roman" w:hAnsi="Times New Roman" w:eastAsia="仿宋" w:cs="Times New Roman"/>
                <w:spacing w:val="6"/>
                <w:position w:val="26"/>
                <w:sz w:val="27"/>
                <w:szCs w:val="27"/>
              </w:rPr>
              <w:t>学方法及设计意图</w:t>
            </w:r>
          </w:p>
          <w:p w14:paraId="113FE33C">
            <w:pPr>
              <w:tabs>
                <w:tab w:val="left" w:pos="266"/>
              </w:tabs>
              <w:spacing w:before="1" w:line="230" w:lineRule="auto"/>
              <w:rPr>
                <w:rFonts w:ascii="Times New Roman" w:hAnsi="Times New Roman" w:eastAsia="仿宋" w:cs="Times New Roman"/>
                <w:sz w:val="27"/>
                <w:szCs w:val="27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7"/>
                <w:szCs w:val="27"/>
              </w:rPr>
              <w:t>(含教具</w:t>
            </w:r>
            <w:r>
              <w:rPr>
                <w:rFonts w:ascii="Times New Roman" w:hAnsi="Times New Roman" w:eastAsia="仿宋" w:cs="Times New Roman"/>
                <w:spacing w:val="-2"/>
                <w:sz w:val="27"/>
                <w:szCs w:val="27"/>
              </w:rPr>
              <w:t>、媒体使用)</w:t>
            </w:r>
          </w:p>
        </w:tc>
      </w:tr>
      <w:tr w14:paraId="4B530B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7" w:hRule="atLeast"/>
        </w:trPr>
        <w:tc>
          <w:tcPr>
            <w:tcW w:w="1496" w:type="dxa"/>
            <w:vAlign w:val="center"/>
          </w:tcPr>
          <w:p>
            <w:r>
              <w:t>上课环境检查 (10分钟)</w:t>
            </w:r>
          </w:p>
        </w:tc>
        <w:tc>
          <w:tcPr>
            <w:tcW w:w="5887" w:type="dxa"/>
            <w:vAlign w:val="center"/>
          </w:tcPr>
          <w:p>
            <w:r>
              <w:t>课前环境准备、课堂纪律宣贯与硬件设备完好程度检查。</w:t>
            </w:r>
          </w:p>
        </w:tc>
        <w:tc>
          <w:tcPr>
            <w:tcW w:w="2288" w:type="dxa"/>
            <w:vAlign w:val="center"/>
          </w:tcPr>
          <w:p>
            <w:r>
              <w:t>1. 按照规定统一上交手机等电子产品；</w:t>
              <w:br/>
              <w:t>2. 检查电脑主机、键鼠及网络跳线是否完好，并在点名册上签到。</w:t>
            </w:r>
          </w:p>
        </w:tc>
        <w:tc>
          <w:tcPr>
            <w:tcW w:w="1975" w:type="dxa"/>
            <w:vAlign w:val="center"/>
          </w:tcPr>
          <w:p>
            <w:r>
              <w:t>1. 督促全班学生上交手机并完成课堂考勤点名；</w:t>
              <w:br/>
              <w:t>2. 强调机房安全用电规章制度及本次实训课的纪律要求。</w:t>
            </w:r>
          </w:p>
        </w:tc>
        <w:tc>
          <w:tcPr>
            <w:tcW w:w="2507" w:type="dxa"/>
            <w:vAlign w:val="center"/>
          </w:tcPr>
          <w:p>
            <w:r>
              <w:t>培养学生良好的职业素养与规范化的实训操作习惯。</w:t>
            </w:r>
          </w:p>
        </w:tc>
      </w:tr>
      <w:tr w14:paraId="5076D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项目导入与虚拟化概述 (35分钟)</w:t>
            </w:r>
          </w:p>
        </w:tc>
        <w:tc>
          <w:tcPr>
            <w:tcW w:w="5887" w:type="dxa"/>
            <w:vAlign w:val="center"/>
          </w:tcPr>
          <w:p>
            <w:r>
              <w:t>虚拟化平台项目背景介绍、虚拟化技术发展历程与核心价值。</w:t>
            </w:r>
          </w:p>
        </w:tc>
        <w:tc>
          <w:tcPr>
            <w:tcW w:w="2288" w:type="dxa"/>
            <w:vAlign w:val="center"/>
          </w:tcPr>
          <w:p>
            <w:r>
              <w:t>1. 听取虚拟化平台项目背景及企业真实需求场景介绍；</w:t>
              <w:br/>
              <w:t>2. 回顾之前学习的LAMP服务器部署项目，思考虚拟化与物理服务器的差异；</w:t>
              <w:br/>
              <w:t>3. 记录虚拟化技术的定义、发展历程及核心价值点。</w:t>
            </w:r>
          </w:p>
        </w:tc>
        <w:tc>
          <w:tcPr>
            <w:tcW w:w="1975" w:type="dxa"/>
            <w:vAlign w:val="center"/>
          </w:tcPr>
          <w:p>
            <w:r>
              <w:t>1. 通过大屏展示某企业IDC机房虚拟化改造前后的对比照片和数据；</w:t>
              <w:br/>
              <w:t>2. 讲解虚拟化技术从20世纪60年代至今的发展历程及关键里程碑；</w:t>
              <w:br/>
              <w:t>3. 阐述虚拟化技术在现代云计算架构中的核心地位。</w:t>
            </w:r>
          </w:p>
        </w:tc>
        <w:tc>
          <w:tcPr>
            <w:tcW w:w="2507" w:type="dxa"/>
            <w:vAlign w:val="center"/>
          </w:tcPr>
          <w:p>
            <w:r>
              <w:t>建立项目认知，激发学习兴趣，明确虚拟化技术的重要性和实用性。</w:t>
            </w:r>
          </w:p>
        </w:tc>
      </w:tr>
      <w:tr w14:paraId="2C5792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虚拟化技术优势深度解析 (40分钟)</w:t>
            </w:r>
          </w:p>
        </w:tc>
        <w:tc>
          <w:tcPr>
            <w:tcW w:w="5887" w:type="dxa"/>
            <w:vAlign w:val="center"/>
          </w:tcPr>
          <w:p>
            <w:r>
              <w:t>虚拟化技术的五大核心优势：提高资源利用率、节省机房空间、灵活资源分配、高可靠性保障、故障转移能力。</w:t>
            </w:r>
          </w:p>
        </w:tc>
        <w:tc>
          <w:tcPr>
            <w:tcW w:w="2288" w:type="dxa"/>
            <w:vAlign w:val="center"/>
          </w:tcPr>
          <w:p>
            <w:r>
              <w:t>1. 分组讨论传统物理服务器架构的资源浪费问题（如CPU平均利用率不足15%）；</w:t>
              <w:br/>
              <w:t>2. 查阅资料并计算虚拟化改造后的资源利用率提升数据；</w:t>
              <w:br/>
              <w:t>3. 记录虚拟化五大优势的具体表现和实际案例数据。</w:t>
            </w:r>
          </w:p>
        </w:tc>
        <w:tc>
          <w:tcPr>
            <w:tcW w:w="1975" w:type="dxa"/>
            <w:vAlign w:val="center"/>
          </w:tcPr>
          <w:p>
            <w:r>
              <w:t>1. 使用对比图表展示物理服务器vs虚拟化服务器的资源利用率差异（15% vs 60-80%）；</w:t>
              <w:br/>
              <w:t>2. 通过真实案例数据（如某银行数据中心虚拟化后节省60%机房空间）说明空间节省优势；</w:t>
              <w:br/>
              <w:t>3. 讲解虚拟化的高可靠性机制（HA高可用、FT容错、vMotion迁移）。</w:t>
            </w:r>
          </w:p>
        </w:tc>
        <w:tc>
          <w:tcPr>
            <w:tcW w:w="2507" w:type="dxa"/>
            <w:vAlign w:val="center"/>
          </w:tcPr>
          <w:p>
            <w:r>
              <w:t>建立虚拟化技术的价值认知，理解企业采用虚拟化技术的核心驱动力。</w:t>
            </w:r>
          </w:p>
        </w:tc>
      </w:tr>
      <w:tr w14:paraId="1E2325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虚拟化技术分类与架构对比 (50分钟)</w:t>
            </w:r>
          </w:p>
        </w:tc>
        <w:tc>
          <w:tcPr>
            <w:tcW w:w="5887" w:type="dxa"/>
            <w:vAlign w:val="center"/>
          </w:tcPr>
          <w:p>
            <w:r>
              <w:t>虚拟化技术的两大分类维度（资源角度与实现方式）及各类型的技术架构差异。</w:t>
            </w:r>
          </w:p>
        </w:tc>
        <w:tc>
          <w:tcPr>
            <w:tcW w:w="2288" w:type="dxa"/>
            <w:vAlign w:val="center"/>
          </w:tcPr>
          <w:p>
            <w:r>
              <w:t>1. 使用绘图工具绘制Type I（裸机型）、Type II（宿主型）、容器虚拟化的架构层次图；</w:t>
              <w:br/>
              <w:t>2. 对比分析三种虚拟化类型的优缺点和适用场景；</w:t>
              <w:br/>
              <w:t>3. 记录全虚拟化、半虚拟化、硬件辅助虚拟化的技术原理差异。</w:t>
            </w:r>
          </w:p>
        </w:tc>
        <w:tc>
          <w:tcPr>
            <w:tcW w:w="1975" w:type="dxa"/>
            <w:vAlign w:val="center"/>
          </w:tcPr>
          <w:p>
            <w:r>
              <w:t>1. 大屏展示三种虚拟化类型的架构图，使用颜色标注各层级关系；</w:t>
              <w:br/>
              <w:t>2. 讲解全虚拟化（二进制翻译）、半虚拟化（Hypercall）、硬件辅助虚拟化（Intel VT-x/AMD-V）的技术原理；</w:t>
              <w:br/>
              <w:t>3. 通过类比法解释VMM/Hypervisor的角色（如'资源调度管家'）。</w:t>
            </w:r>
          </w:p>
        </w:tc>
        <w:tc>
          <w:tcPr>
            <w:tcW w:w="2507" w:type="dxa"/>
            <w:vAlign w:val="center"/>
          </w:tcPr>
          <w:p>
            <w:r>
              <w:t>建立虚拟化技术的系统性认知，掌握不同技术类型的架构差异和选型依据。</w:t>
            </w:r>
          </w:p>
        </w:tc>
      </w:tr>
      <w:tr w14:paraId="255EC0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主流虚拟化平台对比分析 (50分钟)</w:t>
            </w:r>
          </w:p>
        </w:tc>
        <w:tc>
          <w:tcPr>
            <w:tcW w:w="5887" w:type="dxa"/>
            <w:vAlign w:val="center"/>
          </w:tcPr>
          <w:p>
            <w:r>
              <w:t>VMware vSphere、KVM、Hyper-V三大主流虚拟化平台的技术特点、授权模式及适用场景对比。</w:t>
            </w:r>
          </w:p>
        </w:tc>
        <w:tc>
          <w:tcPr>
            <w:tcW w:w="2288" w:type="dxa"/>
            <w:vAlign w:val="center"/>
          </w:tcPr>
          <w:p>
            <w:r>
              <w:t>1. 分组扮演VMware、红帽KVM、微软Hyper-V技术顾问角色；</w:t>
              <w:br/>
              <w:t>2. 查阅官方资料，从技术架构、功能特性、授权成本、生态支持等维度整理对比数据；</w:t>
              <w:br/>
              <w:t>3. 完成'虚拟化平台对比分析表'并准备小组汇报。</w:t>
            </w:r>
          </w:p>
        </w:tc>
        <w:tc>
          <w:tcPr>
            <w:tcW w:w="1975" w:type="dxa"/>
            <w:vAlign w:val="center"/>
          </w:tcPr>
          <w:p>
            <w:r>
              <w:t>1. 下发各平台官方技术白皮书和授权文档；</w:t>
              <w:br/>
              <w:t>2. 指导学生在对比时关注技术架构（ESXi裸机 vs KVM宿主型 vs Hyper-V混合）、企业级特性、开源vs商业授权等关键维度；</w:t>
              <w:br/>
              <w:t>3. 强调国产虚拟化技术（如华为FusionSphere、阿里云飞天）的发展现状。</w:t>
            </w:r>
          </w:p>
        </w:tc>
        <w:tc>
          <w:tcPr>
            <w:tcW w:w="2507" w:type="dxa"/>
            <w:vAlign w:val="center"/>
          </w:tcPr>
          <w:p>
            <w:r>
              <w:t>培养技术调研与对比分析能力，建立多平台技术视野，树立开源技术自信。</w:t>
            </w:r>
          </w:p>
        </w:tc>
      </w:tr>
      <w:tr w14:paraId="72D914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客户需求调研实践 (30分钟)</w:t>
            </w:r>
          </w:p>
        </w:tc>
        <w:tc>
          <w:tcPr>
            <w:tcW w:w="5887" w:type="dxa"/>
            <w:vAlign w:val="center"/>
          </w:tcPr>
          <w:p>
            <w:r>
              <w:t>虚拟化平台建设项目客户需求调研方法与标准化信息收集表填写。</w:t>
            </w:r>
          </w:p>
        </w:tc>
        <w:tc>
          <w:tcPr>
            <w:tcW w:w="2288" w:type="dxa"/>
            <w:vAlign w:val="center"/>
          </w:tcPr>
          <w:p>
            <w:r>
              <w:t>1. 学习'客户需求信息收集表'的结构和填写规范；</w:t>
              <w:br/>
              <w:t>2. 模拟客户访谈场景，两两一组进行需求调研角色扮演；</w:t>
              <w:br/>
              <w:t>3. 记录客户的基础信息、现有IT架构、业务需求、性能要求、安全需求等关键信息。</w:t>
            </w:r>
          </w:p>
        </w:tc>
        <w:tc>
          <w:tcPr>
            <w:tcW w:w="1975" w:type="dxa"/>
            <w:vAlign w:val="center"/>
          </w:tcPr>
          <w:p>
            <w:r>
              <w:t>1. 讲解客户需求调研的沟通技巧和注意事项（如倾听、引导、确认）；</w:t>
              <w:br/>
              <w:t>2. 提供标准化'虚拟化平台需求调研表'模板；</w:t>
              <w:br/>
              <w:t>3. 巡视指导学生进行角色扮演，纠正调研过程中的不当提问方式。</w:t>
            </w:r>
          </w:p>
        </w:tc>
        <w:tc>
          <w:tcPr>
            <w:tcW w:w="2507" w:type="dxa"/>
            <w:vAlign w:val="center"/>
          </w:tcPr>
          <w:p>
            <w:r>
              <w:t>培养客户需求沟通与信息收集能力，建立规范的需求调研工作流程。</w:t>
            </w:r>
          </w:p>
        </w:tc>
      </w:tr>
      <w:tr w14:paraId="63184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成果汇报与总结提升 (30分钟)</w:t>
            </w:r>
          </w:p>
        </w:tc>
        <w:tc>
          <w:tcPr>
            <w:tcW w:w="5887" w:type="dxa"/>
            <w:vAlign w:val="center"/>
          </w:tcPr>
          <w:p>
            <w:r>
              <w:t>虚拟化平台对比分析成果汇报、需求调研结果展示与本周学习总结。</w:t>
            </w:r>
          </w:p>
        </w:tc>
        <w:tc>
          <w:tcPr>
            <w:tcW w:w="2288" w:type="dxa"/>
            <w:vAlign w:val="center"/>
          </w:tcPr>
          <w:p>
            <w:r>
              <w:t>1. 各组上台汇报虚拟化平台对比分析结论（每组5分钟）；</w:t>
              <w:br/>
              <w:t>2. 展示本组完成的需求调研表，分享调研过程中的心得体会；</w:t>
              <w:br/>
              <w:t>3. 参与小组互评，对其他组的分析深度和调研完整性进行评价。</w:t>
            </w:r>
          </w:p>
        </w:tc>
        <w:tc>
          <w:tcPr>
            <w:tcW w:w="1975" w:type="dxa"/>
            <w:vAlign w:val="center"/>
          </w:tcPr>
          <w:p>
            <w:r>
              <w:t>1. 组织各组进行成果汇报，严格控制每组汇报时间；</w:t>
              <w:br/>
              <w:t>2. 对各组的平台对比分析和需求调研质量进行点评，指出优点和改进点；</w:t>
              <w:br/>
              <w:t>3. 总结本周核心知识点，布置课后预习任务（预习KVM虚拟化平台安装）。</w:t>
            </w:r>
          </w:p>
        </w:tc>
        <w:tc>
          <w:tcPr>
            <w:tcW w:w="2507" w:type="dxa"/>
            <w:vAlign w:val="center"/>
          </w:tcPr>
          <w:p>
            <w:r>
              <w:t>建立成果展示与评价机制，巩固本周学习成果，培养表达能力和批判性思维。</w:t>
            </w:r>
          </w:p>
        </w:tc>
      </w:tr>
      <w:tr w14:paraId="6DD796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>
            <w:r>
              <w:t>6S整理与环境复原 (15分钟)</w:t>
            </w:r>
          </w:p>
        </w:tc>
        <w:tc>
          <w:tcPr>
            <w:tcW w:w="5887" w:type="dxa"/>
            <w:vAlign w:val="center"/>
          </w:tcPr>
          <w:p>
            <w:r>
              <w:t>实训室上课环境复原、硬件归位、卫生打扫与6S规范整理落实。</w:t>
            </w:r>
          </w:p>
        </w:tc>
        <w:tc>
          <w:tcPr>
            <w:tcW w:w="2288" w:type="dxa"/>
            <w:vAlign w:val="center"/>
          </w:tcPr>
          <w:p>
            <w:r>
              <w:t>1. 整理个人电脑桌面，保存并备份本周学习资料（对比分析表、需求调研表）；</w:t>
              <w:br/>
              <w:t>2. 整理工位桌椅、鼠标键盘，打扫工位周边卫生并将垃圾打包带走。</w:t>
            </w:r>
          </w:p>
        </w:tc>
        <w:tc>
          <w:tcPr>
            <w:tcW w:w="1975" w:type="dxa"/>
            <w:vAlign w:val="center"/>
          </w:tcPr>
          <w:p>
            <w:r>
              <w:t>1. 下达实训结束及6S整理指令，对各小组负责的工位及卫生死角进行逐一巡视督查；</w:t>
              <w:br/>
              <w:t>2. 检查并确认实训室各机位总电源已关闭、网络设备运行正常及门窗已锁好。</w:t>
            </w:r>
          </w:p>
        </w:tc>
        <w:tc>
          <w:tcPr>
            <w:tcW w:w="2507" w:type="dxa"/>
            <w:vAlign w:val="center"/>
          </w:tcPr>
          <w:p>
            <w:r>
              <w:t>强化现代企业6S现场管理理念，培养学生负责任的职业卫生及设备爱护习惯。</w:t>
            </w:r>
          </w:p>
        </w:tc>
      </w:tr>
      <w:tr w14:paraId="367FF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</w:tcPr>
          <w:p w14:paraId="070070E4">
            <w:pPr>
              <w:spacing w:line="438" w:lineRule="auto"/>
              <w:rPr>
                <w:rFonts w:ascii="Times New Roman" w:hAnsi="Times New Roman" w:cs="Times New Roman"/>
              </w:rPr>
            </w:pPr>
          </w:p>
          <w:p w14:paraId="68A050F2">
            <w:pPr>
              <w:spacing w:before="91" w:line="223" w:lineRule="auto"/>
              <w:ind w:left="1155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8"/>
                <w:sz w:val="28"/>
                <w:szCs w:val="28"/>
              </w:rPr>
              <w:t>板书</w:t>
            </w:r>
          </w:p>
        </w:tc>
        <w:tc>
          <w:tcPr>
            <w:tcW w:w="12657" w:type="dxa"/>
            <w:gridSpan w:val="4"/>
          </w:tcPr>
          <w:p>
            <w:r>
              <w:t>虚拟化平台部署与管理——获取需求</w:t>
              <w:br/>
              <w:br/>
              <w:t>一、虚拟化技术概述</w:t>
              <w:br/>
              <w:t>1. 定义：将物理资源抽象为逻辑资源</w:t>
              <w:br/>
              <w:t>2. 发展：1960s IBM → 1990s VMware → 2006 KVM → 现今容器</w:t>
              <w:br/>
              <w:br/>
              <w:t>二、虚拟化五大优势</w:t>
              <w:br/>
              <w:t>1. 资源利用率：15% → 60-80%</w:t>
              <w:br/>
              <w:t>2. 空间节省：机房面积↓60%</w:t>
              <w:br/>
              <w:t>3. 灵活分配：动态调整CPU/内存/存储</w:t>
              <w:br/>
              <w:t>4. 高可靠性：HA/FT/vMotion</w:t>
              <w:br/>
              <w:t>5. 故障转移：业务连续性保障</w:t>
              <w:br/>
              <w:br/>
              <w:t>三、虚拟化分类</w:t>
              <w:br/>
              <w:t>1. 按资源：平台虚拟化 vs 操作系统虚拟化</w:t>
              <w:br/>
              <w:t>2. 按实现：</w:t>
              <w:br/>
              <w:t xml:space="preserve">   - Type I（裸机型）：ESXi → 高性能</w:t>
              <w:br/>
              <w:t xml:space="preserve">   - Type II（宿主型）：KVM → 灵活</w:t>
              <w:br/>
              <w:t xml:space="preserve">   - 容器型：Docker → 轻量</w:t>
              <w:br/>
              <w:br/>
              <w:t>四、主流平台对比</w:t>
              <w:br/>
              <w:t>┌──────────┬──────────┬──────────┬──────────┐</w:t>
              <w:br/>
              <w:t>│   维度   │  VMware  │   KVM    │Hyper-V   │</w:t>
              <w:br/>
              <w:t>├──────────┼──────────┼──────────┼──────────┤</w:t>
              <w:br/>
              <w:t>│  架构    │ Type I   │ Type II  │ 混合     │</w:t>
              <w:br/>
              <w:t>│  授权    │ 商业付费 │ 开源免费 │ 商业     │</w:t>
              <w:br/>
              <w:t>│  性能    │  优秀    │  良好    │  良好    │</w:t>
              <w:br/>
              <w:t>│  生态    │  完善    │  活跃    │  Windows │</w:t>
              <w:br/>
              <w:t>└──────────┴──────────┴──────────┴──────────┘</w:t>
            </w:r>
          </w:p>
        </w:tc>
      </w:tr>
      <w:tr w14:paraId="13B4B1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1496" w:type="dxa"/>
          </w:tcPr>
          <w:p w14:paraId="57427BB2">
            <w:pPr>
              <w:spacing w:line="438" w:lineRule="auto"/>
              <w:rPr>
                <w:rFonts w:ascii="Times New Roman" w:hAnsi="Times New Roman" w:cs="Times New Roman"/>
              </w:rPr>
            </w:pPr>
          </w:p>
          <w:p w14:paraId="29E7D00D">
            <w:pPr>
              <w:spacing w:before="91" w:line="221" w:lineRule="auto"/>
              <w:ind w:left="116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12"/>
                <w:sz w:val="28"/>
                <w:szCs w:val="28"/>
              </w:rPr>
              <w:t>作</w:t>
            </w:r>
            <w:r>
              <w:rPr>
                <w:rFonts w:ascii="Times New Roman" w:hAnsi="Times New Roman" w:eastAsia="仿宋" w:cs="Times New Roman"/>
                <w:spacing w:val="-10"/>
                <w:sz w:val="28"/>
                <w:szCs w:val="28"/>
              </w:rPr>
              <w:t>业</w:t>
            </w:r>
          </w:p>
        </w:tc>
        <w:tc>
          <w:tcPr>
            <w:tcW w:w="12657" w:type="dxa"/>
            <w:gridSpan w:val="4"/>
          </w:tcPr>
          <w:p>
            <w:r>
              <w:t>1. 整理并提交本周完成的'主流虚拟化平台对比分析表'（含VMware vSphere、KVM、Hyper-V三个平台的技术架构、功能特性、授权模式、适用场景等对比维度）。</w:t>
              <w:br/>
              <w:t>2. 完成'虚拟化平台建设项目客户需求调研表'的填写（可假设一个中小企业客户场景，包括客户基本信息、现有IT架构、业务需求、性能要求、安全需求、预算范围等内容）。</w:t>
              <w:br/>
              <w:t>3. 课后拓展：查阅资料了解国产虚拟化技术的发展现状，撰写300字左右的调研报告（重点关注华为FusionSphere、阿里云飞天、浪潮InCloud等国产虚拟化平台的技术特点和市场应用情况）。</w:t>
              <w:br/>
              <w:t>4. 预习第6周内容：预习KVM虚拟化平台的安装配置方法，了解Libvirt管理工具的基本使用。</w:t>
            </w:r>
          </w:p>
        </w:tc>
      </w:tr>
    </w:tbl>
    <w:p w14:paraId="019BF1EB">
      <w:pPr>
        <w:spacing w:before="80" w:line="231" w:lineRule="auto"/>
      </w:pPr>
      <w:r>
        <w:rPr>
          <w:rFonts w:hint="eastAsia" w:ascii="仿宋" w:hAnsi="仿宋" w:eastAsia="仿宋" w:cs="仿宋"/>
          <w:spacing w:val="-4"/>
          <w:sz w:val="24"/>
          <w:szCs w:val="24"/>
        </w:rPr>
        <w:t>注：表</w:t>
      </w:r>
      <w:r>
        <w:rPr>
          <w:rFonts w:hint="eastAsia" w:ascii="仿宋" w:hAnsi="仿宋" w:eastAsia="仿宋" w:cs="仿宋"/>
          <w:spacing w:val="-3"/>
          <w:sz w:val="24"/>
          <w:szCs w:val="24"/>
        </w:rPr>
        <w:t>格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可自行加行</w:t>
      </w:r>
    </w:p>
    <w:p w14:paraId="3F1A027A"/>
    <w:sectPr>
      <w:headerReference r:id="rId5" w:type="default"/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600CC">
    <w:pPr>
      <w:spacing w:line="180" w:lineRule="auto"/>
      <w:ind w:left="4343"/>
      <w:rPr>
        <w:rFonts w:ascii="仿宋" w:hAnsi="仿宋" w:eastAsia="仿宋" w:cs="仿宋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3A214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  <w:r>
      <w:rPr>
        <w:rFonts w:hint="eastAsia" w:eastAsia="宋体"/>
        <w:b/>
        <w:bCs/>
        <w:sz w:val="28"/>
      </w:rPr>
      <w:t xml:space="preserve">                   </w:t>
    </w:r>
  </w:p>
  <w:p w14:paraId="30B684C1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1D866DE3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5180299E">
    <w:pPr>
      <w:pStyle w:val="6"/>
      <w:pBdr>
        <w:bottom w:val="single" w:color="auto" w:sz="4" w:space="1"/>
      </w:pBdr>
      <w:ind w:right="140"/>
      <w:jc w:val="center"/>
    </w:pPr>
    <w:r>
      <w:rPr>
        <w:rFonts w:hint="eastAsia" w:ascii="仿宋" w:hAnsi="仿宋" w:eastAsia="仿宋" w:cs="仿宋"/>
        <w:b/>
        <w:bCs/>
        <w:sz w:val="32"/>
        <w:szCs w:val="32"/>
      </w:rPr>
      <w:t>广州市技师学院</w:t>
    </w:r>
    <w:r>
      <w:rPr>
        <w:rFonts w:hint="eastAsia" w:ascii="仿宋" w:hAnsi="仿宋" w:eastAsia="仿宋" w:cs="仿宋"/>
        <w:b/>
        <w:bCs/>
        <w:sz w:val="30"/>
        <w:szCs w:val="30"/>
      </w:rPr>
      <w:t xml:space="preserve"> </w:t>
    </w:r>
    <w:r>
      <w:rPr>
        <w:rFonts w:hint="eastAsia"/>
        <w:b/>
        <w:bCs/>
        <w:sz w:val="30"/>
        <w:szCs w:val="30"/>
      </w:rPr>
      <w:t xml:space="preserve">        </w:t>
    </w:r>
  </w:p>
  <w:p w14:paraId="2200F30A">
    <w:pPr>
      <w:spacing w:before="114" w:line="226" w:lineRule="auto"/>
      <w:jc w:val="center"/>
      <w:outlineLvl w:val="0"/>
      <w:rPr>
        <w:rFonts w:ascii="黑体" w:hAnsi="黑体" w:eastAsia="黑体" w:cs="黑体"/>
        <w:sz w:val="28"/>
        <w:szCs w:val="28"/>
      </w:rPr>
    </w:pPr>
    <w:r>
      <w:rPr>
        <w:rFonts w:hint="eastAsia" w:ascii="仿宋" w:hAnsi="仿宋" w:eastAsia="仿宋" w:cs="仿宋"/>
        <w:spacing w:val="10"/>
        <w:sz w:val="28"/>
        <w:szCs w:val="28"/>
      </w:rPr>
      <w:t>公</w:t>
    </w:r>
    <w:r>
      <w:rPr>
        <w:rFonts w:hint="eastAsia" w:ascii="仿宋" w:hAnsi="仿宋" w:eastAsia="仿宋" w:cs="仿宋"/>
        <w:spacing w:val="8"/>
        <w:sz w:val="28"/>
        <w:szCs w:val="28"/>
      </w:rPr>
      <w:t>共课/专业基础课教学设计 (参考模板)</w:t>
    </w:r>
  </w:p>
  <w:p w14:paraId="4420830E">
    <w:pPr>
      <w:pBdr>
        <w:bottom w:val="single" w:color="auto" w:sz="4" w:space="0"/>
      </w:pBdr>
      <w:tabs>
        <w:tab w:val="left" w:pos="345"/>
        <w:tab w:val="center" w:pos="4153"/>
      </w:tabs>
      <w:rPr>
        <w:rFonts w:ascii="宋体" w:hAnsi="宋体" w:eastAsia="宋体" w:cs="宋体"/>
      </w:rPr>
    </w:pPr>
  </w:p>
  <w:p w14:paraId="1FD5C81D">
    <w:pPr>
      <w:pBdr>
        <w:bottom w:val="single" w:color="auto" w:sz="4" w:space="0"/>
      </w:pBdr>
      <w:tabs>
        <w:tab w:val="left" w:pos="345"/>
        <w:tab w:val="center" w:pos="4153"/>
      </w:tabs>
      <w:rPr>
        <w:rFonts w:ascii="仿宋" w:hAnsi="仿宋" w:eastAsia="仿宋" w:cs="仿宋"/>
      </w:rPr>
    </w:pPr>
    <w:r>
      <w:rPr>
        <w:rFonts w:hint="eastAsia" w:ascii="仿宋" w:hAnsi="仿宋" w:eastAsia="仿宋" w:cs="仿宋"/>
      </w:rPr>
      <w:t>编号：QD-851b-14                    版本号：A/0                        流水号：HS-</w:t>
    </w:r>
  </w:p>
  <w:p w14:paraId="2BE565F7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319E2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xYjFiMzdmOTFkMTEwOTBkMmJkOTIzYjM4Y2ZkNDMifQ=="/>
    <w:docVar w:name="KSO_WPS_MARK_KEY" w:val="69e94d6a-9b11-4109-91ad-62ef90968d37"/>
  </w:docVars>
  <w:rsids>
    <w:rsidRoot w:val="511A37DC"/>
    <w:rsid w:val="00006315"/>
    <w:rsid w:val="000266A0"/>
    <w:rsid w:val="00037F2B"/>
    <w:rsid w:val="0004673F"/>
    <w:rsid w:val="00051364"/>
    <w:rsid w:val="00057843"/>
    <w:rsid w:val="00070E5C"/>
    <w:rsid w:val="00072633"/>
    <w:rsid w:val="000852B1"/>
    <w:rsid w:val="00097A9B"/>
    <w:rsid w:val="000A51E5"/>
    <w:rsid w:val="000E624C"/>
    <w:rsid w:val="0010635C"/>
    <w:rsid w:val="0013572F"/>
    <w:rsid w:val="00163F0F"/>
    <w:rsid w:val="00175405"/>
    <w:rsid w:val="001B0D56"/>
    <w:rsid w:val="001C0F67"/>
    <w:rsid w:val="001F176C"/>
    <w:rsid w:val="00203961"/>
    <w:rsid w:val="0024312E"/>
    <w:rsid w:val="002646B0"/>
    <w:rsid w:val="00266277"/>
    <w:rsid w:val="00285629"/>
    <w:rsid w:val="002A3B32"/>
    <w:rsid w:val="002B0AD0"/>
    <w:rsid w:val="002C519C"/>
    <w:rsid w:val="002C7F33"/>
    <w:rsid w:val="002D65C7"/>
    <w:rsid w:val="0030290F"/>
    <w:rsid w:val="00332958"/>
    <w:rsid w:val="00334F62"/>
    <w:rsid w:val="00343682"/>
    <w:rsid w:val="003446FC"/>
    <w:rsid w:val="00346563"/>
    <w:rsid w:val="003526BB"/>
    <w:rsid w:val="00386110"/>
    <w:rsid w:val="003927F5"/>
    <w:rsid w:val="003931B1"/>
    <w:rsid w:val="003C4329"/>
    <w:rsid w:val="003E37D8"/>
    <w:rsid w:val="0041636F"/>
    <w:rsid w:val="00432E55"/>
    <w:rsid w:val="00443DC0"/>
    <w:rsid w:val="004603FA"/>
    <w:rsid w:val="0046130A"/>
    <w:rsid w:val="004615FD"/>
    <w:rsid w:val="00474637"/>
    <w:rsid w:val="004752E1"/>
    <w:rsid w:val="004827F1"/>
    <w:rsid w:val="004A1FB9"/>
    <w:rsid w:val="004A31A9"/>
    <w:rsid w:val="004B29D0"/>
    <w:rsid w:val="004C3355"/>
    <w:rsid w:val="004C3D27"/>
    <w:rsid w:val="004D13A1"/>
    <w:rsid w:val="004D3307"/>
    <w:rsid w:val="004D7770"/>
    <w:rsid w:val="004F327A"/>
    <w:rsid w:val="004F7824"/>
    <w:rsid w:val="00506A7A"/>
    <w:rsid w:val="00522997"/>
    <w:rsid w:val="00524EE9"/>
    <w:rsid w:val="005267F8"/>
    <w:rsid w:val="00550C8C"/>
    <w:rsid w:val="00571389"/>
    <w:rsid w:val="00591AAB"/>
    <w:rsid w:val="005936AD"/>
    <w:rsid w:val="005C2217"/>
    <w:rsid w:val="005D4466"/>
    <w:rsid w:val="005E684E"/>
    <w:rsid w:val="005F2795"/>
    <w:rsid w:val="0061156E"/>
    <w:rsid w:val="00644B64"/>
    <w:rsid w:val="006478C5"/>
    <w:rsid w:val="006A3D17"/>
    <w:rsid w:val="006E360C"/>
    <w:rsid w:val="006F52E6"/>
    <w:rsid w:val="00712C46"/>
    <w:rsid w:val="007219CA"/>
    <w:rsid w:val="00737696"/>
    <w:rsid w:val="007502C2"/>
    <w:rsid w:val="0075359E"/>
    <w:rsid w:val="00766A6A"/>
    <w:rsid w:val="00776C39"/>
    <w:rsid w:val="007A0097"/>
    <w:rsid w:val="007B61D1"/>
    <w:rsid w:val="007C156F"/>
    <w:rsid w:val="007E2349"/>
    <w:rsid w:val="007F6798"/>
    <w:rsid w:val="0081146C"/>
    <w:rsid w:val="008254F4"/>
    <w:rsid w:val="00845D2C"/>
    <w:rsid w:val="008561D8"/>
    <w:rsid w:val="0089363F"/>
    <w:rsid w:val="008962D9"/>
    <w:rsid w:val="008B2024"/>
    <w:rsid w:val="008B7F74"/>
    <w:rsid w:val="008E298A"/>
    <w:rsid w:val="008F6CE0"/>
    <w:rsid w:val="00910A55"/>
    <w:rsid w:val="00925427"/>
    <w:rsid w:val="00926A22"/>
    <w:rsid w:val="009623FA"/>
    <w:rsid w:val="009730BA"/>
    <w:rsid w:val="00981185"/>
    <w:rsid w:val="009941DE"/>
    <w:rsid w:val="009952D7"/>
    <w:rsid w:val="009B15A0"/>
    <w:rsid w:val="009C63E9"/>
    <w:rsid w:val="009D4A11"/>
    <w:rsid w:val="009D595A"/>
    <w:rsid w:val="009D5964"/>
    <w:rsid w:val="009D711C"/>
    <w:rsid w:val="009E2681"/>
    <w:rsid w:val="00A04270"/>
    <w:rsid w:val="00A14FDD"/>
    <w:rsid w:val="00A43958"/>
    <w:rsid w:val="00A877A1"/>
    <w:rsid w:val="00AA2490"/>
    <w:rsid w:val="00AA5D18"/>
    <w:rsid w:val="00AB5959"/>
    <w:rsid w:val="00AD59D6"/>
    <w:rsid w:val="00AF48B4"/>
    <w:rsid w:val="00AF666F"/>
    <w:rsid w:val="00B009ED"/>
    <w:rsid w:val="00B1596A"/>
    <w:rsid w:val="00B343DA"/>
    <w:rsid w:val="00B548B9"/>
    <w:rsid w:val="00B718A5"/>
    <w:rsid w:val="00B85DB4"/>
    <w:rsid w:val="00BA5B12"/>
    <w:rsid w:val="00BB27B1"/>
    <w:rsid w:val="00BB4053"/>
    <w:rsid w:val="00BD0C24"/>
    <w:rsid w:val="00BE78EB"/>
    <w:rsid w:val="00BF1EC4"/>
    <w:rsid w:val="00C21C03"/>
    <w:rsid w:val="00C63D89"/>
    <w:rsid w:val="00C6459F"/>
    <w:rsid w:val="00C726F8"/>
    <w:rsid w:val="00C93A40"/>
    <w:rsid w:val="00C970A1"/>
    <w:rsid w:val="00CF333E"/>
    <w:rsid w:val="00D10CB1"/>
    <w:rsid w:val="00D11F1F"/>
    <w:rsid w:val="00D55238"/>
    <w:rsid w:val="00D67562"/>
    <w:rsid w:val="00D80B94"/>
    <w:rsid w:val="00D951BC"/>
    <w:rsid w:val="00DB6567"/>
    <w:rsid w:val="00DC7EDB"/>
    <w:rsid w:val="00DE3995"/>
    <w:rsid w:val="00E8440E"/>
    <w:rsid w:val="00E85999"/>
    <w:rsid w:val="00E866E2"/>
    <w:rsid w:val="00EB5231"/>
    <w:rsid w:val="00ED2572"/>
    <w:rsid w:val="00EE2F8F"/>
    <w:rsid w:val="00F03AFA"/>
    <w:rsid w:val="00F36BDE"/>
    <w:rsid w:val="00F376A5"/>
    <w:rsid w:val="00F642BB"/>
    <w:rsid w:val="00F740F7"/>
    <w:rsid w:val="00F8258D"/>
    <w:rsid w:val="00F9105D"/>
    <w:rsid w:val="00F942B3"/>
    <w:rsid w:val="00FF6285"/>
    <w:rsid w:val="014521E2"/>
    <w:rsid w:val="018039CD"/>
    <w:rsid w:val="024C76A6"/>
    <w:rsid w:val="02F01533"/>
    <w:rsid w:val="03F67B7C"/>
    <w:rsid w:val="042518C8"/>
    <w:rsid w:val="04BB5274"/>
    <w:rsid w:val="04CE5ACF"/>
    <w:rsid w:val="04F91901"/>
    <w:rsid w:val="05131DB0"/>
    <w:rsid w:val="05414B77"/>
    <w:rsid w:val="06E16751"/>
    <w:rsid w:val="075636D6"/>
    <w:rsid w:val="07D7794E"/>
    <w:rsid w:val="07F95559"/>
    <w:rsid w:val="083B347B"/>
    <w:rsid w:val="08803584"/>
    <w:rsid w:val="09157603"/>
    <w:rsid w:val="09BB5BCC"/>
    <w:rsid w:val="0A0C2DE3"/>
    <w:rsid w:val="0A2C795A"/>
    <w:rsid w:val="0A467026"/>
    <w:rsid w:val="0AB063A2"/>
    <w:rsid w:val="0ACA0CBC"/>
    <w:rsid w:val="0AF054A0"/>
    <w:rsid w:val="0B796FFB"/>
    <w:rsid w:val="0B94162F"/>
    <w:rsid w:val="0C341E51"/>
    <w:rsid w:val="0C6C454B"/>
    <w:rsid w:val="0CCB23AD"/>
    <w:rsid w:val="0D2E019B"/>
    <w:rsid w:val="0DB10079"/>
    <w:rsid w:val="0E1E6D11"/>
    <w:rsid w:val="0EC5310D"/>
    <w:rsid w:val="0ECE3D40"/>
    <w:rsid w:val="0F031129"/>
    <w:rsid w:val="0F307AB2"/>
    <w:rsid w:val="0FBB660C"/>
    <w:rsid w:val="10A613CB"/>
    <w:rsid w:val="10B95885"/>
    <w:rsid w:val="10C50298"/>
    <w:rsid w:val="10F41EA1"/>
    <w:rsid w:val="10F7015B"/>
    <w:rsid w:val="1128422B"/>
    <w:rsid w:val="112A22DF"/>
    <w:rsid w:val="119449EF"/>
    <w:rsid w:val="126D2E00"/>
    <w:rsid w:val="1279000D"/>
    <w:rsid w:val="1279351E"/>
    <w:rsid w:val="13205EE7"/>
    <w:rsid w:val="13DF49DC"/>
    <w:rsid w:val="13ED56E8"/>
    <w:rsid w:val="141D738D"/>
    <w:rsid w:val="14383989"/>
    <w:rsid w:val="14F11F32"/>
    <w:rsid w:val="160B6C8E"/>
    <w:rsid w:val="166C305D"/>
    <w:rsid w:val="16E8469D"/>
    <w:rsid w:val="17074827"/>
    <w:rsid w:val="170F4B6A"/>
    <w:rsid w:val="171952CF"/>
    <w:rsid w:val="17487963"/>
    <w:rsid w:val="17546308"/>
    <w:rsid w:val="176A78D9"/>
    <w:rsid w:val="177A3491"/>
    <w:rsid w:val="182118F7"/>
    <w:rsid w:val="186B1290"/>
    <w:rsid w:val="18E05F84"/>
    <w:rsid w:val="19120EEE"/>
    <w:rsid w:val="19D943DB"/>
    <w:rsid w:val="1A073FF6"/>
    <w:rsid w:val="1B397C73"/>
    <w:rsid w:val="1B62312D"/>
    <w:rsid w:val="1B7927E1"/>
    <w:rsid w:val="1BD16179"/>
    <w:rsid w:val="1BDC3F1C"/>
    <w:rsid w:val="1C2F6EB4"/>
    <w:rsid w:val="1CD345C5"/>
    <w:rsid w:val="1CFC5708"/>
    <w:rsid w:val="1D4B0092"/>
    <w:rsid w:val="1D910106"/>
    <w:rsid w:val="1DA57C19"/>
    <w:rsid w:val="1E6C60F0"/>
    <w:rsid w:val="1EFB38DF"/>
    <w:rsid w:val="1F825192"/>
    <w:rsid w:val="1FF66744"/>
    <w:rsid w:val="2059498F"/>
    <w:rsid w:val="20E462AA"/>
    <w:rsid w:val="210C14AD"/>
    <w:rsid w:val="21447874"/>
    <w:rsid w:val="21DC5EFF"/>
    <w:rsid w:val="21F10022"/>
    <w:rsid w:val="22313234"/>
    <w:rsid w:val="224976EE"/>
    <w:rsid w:val="22837FA0"/>
    <w:rsid w:val="22B91715"/>
    <w:rsid w:val="23B402AC"/>
    <w:rsid w:val="23FF78C4"/>
    <w:rsid w:val="2426102C"/>
    <w:rsid w:val="24B65F0C"/>
    <w:rsid w:val="25034EC9"/>
    <w:rsid w:val="259F18D3"/>
    <w:rsid w:val="26437C73"/>
    <w:rsid w:val="26F7253A"/>
    <w:rsid w:val="27670002"/>
    <w:rsid w:val="27A73FC6"/>
    <w:rsid w:val="2A0239A1"/>
    <w:rsid w:val="2AD547C8"/>
    <w:rsid w:val="2B427374"/>
    <w:rsid w:val="2B8B1CBD"/>
    <w:rsid w:val="2BC23ED2"/>
    <w:rsid w:val="2C0F6B5F"/>
    <w:rsid w:val="2C173C1F"/>
    <w:rsid w:val="2C5F50DB"/>
    <w:rsid w:val="2C892530"/>
    <w:rsid w:val="2CCD64E8"/>
    <w:rsid w:val="2DA134D1"/>
    <w:rsid w:val="2E8D5FFB"/>
    <w:rsid w:val="2F100F2F"/>
    <w:rsid w:val="2F112DEF"/>
    <w:rsid w:val="2F6615E8"/>
    <w:rsid w:val="30197C97"/>
    <w:rsid w:val="308E41E1"/>
    <w:rsid w:val="30F2692D"/>
    <w:rsid w:val="314D1AC3"/>
    <w:rsid w:val="317509A3"/>
    <w:rsid w:val="330B7D6A"/>
    <w:rsid w:val="34C226C2"/>
    <w:rsid w:val="357F4BEB"/>
    <w:rsid w:val="358D4A67"/>
    <w:rsid w:val="36044FBC"/>
    <w:rsid w:val="361A2073"/>
    <w:rsid w:val="366067BD"/>
    <w:rsid w:val="3703372E"/>
    <w:rsid w:val="374C59AF"/>
    <w:rsid w:val="38726196"/>
    <w:rsid w:val="38D01806"/>
    <w:rsid w:val="3916341B"/>
    <w:rsid w:val="39732C58"/>
    <w:rsid w:val="3AB7195C"/>
    <w:rsid w:val="3AC21656"/>
    <w:rsid w:val="3B5337D8"/>
    <w:rsid w:val="3C1852A6"/>
    <w:rsid w:val="3C4B11D8"/>
    <w:rsid w:val="3C814BF9"/>
    <w:rsid w:val="3D0C6691"/>
    <w:rsid w:val="3D956BAE"/>
    <w:rsid w:val="3E39674C"/>
    <w:rsid w:val="3EEA23AF"/>
    <w:rsid w:val="3F951EFF"/>
    <w:rsid w:val="3FF87828"/>
    <w:rsid w:val="40284A6F"/>
    <w:rsid w:val="40B91EA3"/>
    <w:rsid w:val="40CD06B9"/>
    <w:rsid w:val="41856F3A"/>
    <w:rsid w:val="42722B78"/>
    <w:rsid w:val="44761BFD"/>
    <w:rsid w:val="44CA2143"/>
    <w:rsid w:val="44D7438A"/>
    <w:rsid w:val="46C465EB"/>
    <w:rsid w:val="47195E2A"/>
    <w:rsid w:val="47214FA6"/>
    <w:rsid w:val="4743767B"/>
    <w:rsid w:val="47C9565F"/>
    <w:rsid w:val="47DA5134"/>
    <w:rsid w:val="48E21116"/>
    <w:rsid w:val="49CF51F6"/>
    <w:rsid w:val="4A4F6059"/>
    <w:rsid w:val="4A9763AD"/>
    <w:rsid w:val="4B945D75"/>
    <w:rsid w:val="4C076A44"/>
    <w:rsid w:val="4C19348A"/>
    <w:rsid w:val="4C582758"/>
    <w:rsid w:val="4C9A2FAF"/>
    <w:rsid w:val="4CC34DBA"/>
    <w:rsid w:val="4D1F0243"/>
    <w:rsid w:val="4DDC5C3E"/>
    <w:rsid w:val="4E586596"/>
    <w:rsid w:val="4E6525CD"/>
    <w:rsid w:val="4EB046C9"/>
    <w:rsid w:val="4ED65279"/>
    <w:rsid w:val="4EFF09F2"/>
    <w:rsid w:val="4F555FCA"/>
    <w:rsid w:val="4FB976CA"/>
    <w:rsid w:val="4FE46D80"/>
    <w:rsid w:val="50060CA7"/>
    <w:rsid w:val="50E02156"/>
    <w:rsid w:val="511A37DC"/>
    <w:rsid w:val="51542485"/>
    <w:rsid w:val="51FC4FF6"/>
    <w:rsid w:val="52301389"/>
    <w:rsid w:val="52682851"/>
    <w:rsid w:val="52D73066"/>
    <w:rsid w:val="532C5ADF"/>
    <w:rsid w:val="534360E5"/>
    <w:rsid w:val="536C4A8A"/>
    <w:rsid w:val="539B71E2"/>
    <w:rsid w:val="55270CAC"/>
    <w:rsid w:val="560E0CCC"/>
    <w:rsid w:val="56414794"/>
    <w:rsid w:val="56821F80"/>
    <w:rsid w:val="57792C45"/>
    <w:rsid w:val="57D814F7"/>
    <w:rsid w:val="587326BB"/>
    <w:rsid w:val="59023F6F"/>
    <w:rsid w:val="592C6B62"/>
    <w:rsid w:val="59AA6512"/>
    <w:rsid w:val="5A4C4641"/>
    <w:rsid w:val="5A5F6122"/>
    <w:rsid w:val="5AF8090C"/>
    <w:rsid w:val="5C1E025E"/>
    <w:rsid w:val="5C545824"/>
    <w:rsid w:val="5C8279D9"/>
    <w:rsid w:val="5CDA5F34"/>
    <w:rsid w:val="5CFD1AAD"/>
    <w:rsid w:val="5E0D4A0C"/>
    <w:rsid w:val="5EF332DD"/>
    <w:rsid w:val="5F0454EA"/>
    <w:rsid w:val="5F1C6CD8"/>
    <w:rsid w:val="5F5A7800"/>
    <w:rsid w:val="5FF531BC"/>
    <w:rsid w:val="60A37A68"/>
    <w:rsid w:val="60BC4CD4"/>
    <w:rsid w:val="60D13AF2"/>
    <w:rsid w:val="61A92915"/>
    <w:rsid w:val="61E00142"/>
    <w:rsid w:val="61F949B0"/>
    <w:rsid w:val="62057B6D"/>
    <w:rsid w:val="622F6A2E"/>
    <w:rsid w:val="6271541F"/>
    <w:rsid w:val="62C80815"/>
    <w:rsid w:val="63CE5BCA"/>
    <w:rsid w:val="64273ED1"/>
    <w:rsid w:val="645B10FE"/>
    <w:rsid w:val="64980637"/>
    <w:rsid w:val="64986AD8"/>
    <w:rsid w:val="6528518F"/>
    <w:rsid w:val="66AF0431"/>
    <w:rsid w:val="66C26405"/>
    <w:rsid w:val="6730650C"/>
    <w:rsid w:val="676E1F55"/>
    <w:rsid w:val="686D5EAE"/>
    <w:rsid w:val="69651329"/>
    <w:rsid w:val="6A2E3D63"/>
    <w:rsid w:val="6A462BB7"/>
    <w:rsid w:val="6A462E5B"/>
    <w:rsid w:val="6A570BC4"/>
    <w:rsid w:val="6A66255B"/>
    <w:rsid w:val="6AD31ED3"/>
    <w:rsid w:val="6BA85E23"/>
    <w:rsid w:val="6C137260"/>
    <w:rsid w:val="6D090170"/>
    <w:rsid w:val="6D437B25"/>
    <w:rsid w:val="6D894F3A"/>
    <w:rsid w:val="6E0E3D1E"/>
    <w:rsid w:val="6E4E0530"/>
    <w:rsid w:val="6EE61CBF"/>
    <w:rsid w:val="6FB860A4"/>
    <w:rsid w:val="6FD802ED"/>
    <w:rsid w:val="70025A76"/>
    <w:rsid w:val="701D28B0"/>
    <w:rsid w:val="707E095E"/>
    <w:rsid w:val="708F302F"/>
    <w:rsid w:val="7125088F"/>
    <w:rsid w:val="71A36DE5"/>
    <w:rsid w:val="71C048E0"/>
    <w:rsid w:val="7249798C"/>
    <w:rsid w:val="724F0D1A"/>
    <w:rsid w:val="72734A09"/>
    <w:rsid w:val="73C13552"/>
    <w:rsid w:val="743D56C0"/>
    <w:rsid w:val="74805FBF"/>
    <w:rsid w:val="756E256A"/>
    <w:rsid w:val="75736ACE"/>
    <w:rsid w:val="760A307F"/>
    <w:rsid w:val="768768FB"/>
    <w:rsid w:val="76A72ED3"/>
    <w:rsid w:val="77080071"/>
    <w:rsid w:val="77534D78"/>
    <w:rsid w:val="77713ED2"/>
    <w:rsid w:val="78A76FFC"/>
    <w:rsid w:val="78AF63B1"/>
    <w:rsid w:val="78B51799"/>
    <w:rsid w:val="791C42B6"/>
    <w:rsid w:val="7931117A"/>
    <w:rsid w:val="79536335"/>
    <w:rsid w:val="79954641"/>
    <w:rsid w:val="79BA084C"/>
    <w:rsid w:val="7B164015"/>
    <w:rsid w:val="7B767A2A"/>
    <w:rsid w:val="7BE2555C"/>
    <w:rsid w:val="7C582389"/>
    <w:rsid w:val="7C9E69D0"/>
    <w:rsid w:val="7CF44998"/>
    <w:rsid w:val="7CF95B0B"/>
    <w:rsid w:val="7D3E79C1"/>
    <w:rsid w:val="7D697AEE"/>
    <w:rsid w:val="7E5A57E9"/>
    <w:rsid w:val="7F261E27"/>
    <w:rsid w:val="7FD47373"/>
    <w:rsid w:val="7FE6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Plain Text"/>
    <w:basedOn w:val="1"/>
    <w:qFormat/>
    <w:uiPriority w:val="0"/>
    <w:rPr>
      <w:rFonts w:ascii="宋体" w:hAnsi="Courier New" w:cs="Courier New"/>
    </w:rPr>
  </w:style>
  <w:style w:type="paragraph" w:styleId="5">
    <w:name w:val="footer"/>
    <w:basedOn w:val="1"/>
    <w:link w:val="19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</w:pPr>
    <w:rPr>
      <w:rFonts w:cs="Times New Roman"/>
      <w:sz w:val="24"/>
    </w:rPr>
  </w:style>
  <w:style w:type="paragraph" w:styleId="8">
    <w:name w:val="Body Text First Indent"/>
    <w:basedOn w:val="3"/>
    <w:semiHidden/>
    <w:unhideWhenUsed/>
    <w:qFormat/>
    <w:uiPriority w:val="99"/>
    <w:pPr>
      <w:ind w:firstLine="420" w:firstLineChars="1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000FF"/>
      <w:u w:val="single"/>
    </w:rPr>
  </w:style>
  <w:style w:type="table" w:customStyle="1" w:styleId="1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课时标题（--------------------------------）"/>
    <w:basedOn w:val="17"/>
    <w:qFormat/>
    <w:uiPriority w:val="0"/>
    <w:rPr>
      <w:rFonts w:ascii="宋体" w:hAnsi="宋体" w:eastAsia="宋体"/>
      <w:b/>
    </w:rPr>
  </w:style>
  <w:style w:type="paragraph" w:customStyle="1" w:styleId="17">
    <w:name w:val="课题分析（——————————————————————————）"/>
    <w:basedOn w:val="18"/>
    <w:qFormat/>
    <w:uiPriority w:val="0"/>
    <w:pPr>
      <w:ind w:firstLine="0" w:firstLineChars="0"/>
      <w:jc w:val="center"/>
    </w:pPr>
    <w:rPr>
      <w:rFonts w:eastAsia="仿宋_GB2312"/>
    </w:rPr>
  </w:style>
  <w:style w:type="paragraph" w:customStyle="1" w:styleId="18">
    <w:name w:val="多学一招脚下留心内容"/>
    <w:basedOn w:val="1"/>
    <w:qFormat/>
    <w:uiPriority w:val="0"/>
    <w:pPr>
      <w:ind w:firstLine="420" w:firstLineChars="200"/>
    </w:pPr>
    <w:rPr>
      <w:rFonts w:ascii="楷体_GB2312" w:eastAsia="楷体_GB2312"/>
    </w:rPr>
  </w:style>
  <w:style w:type="character" w:customStyle="1" w:styleId="19">
    <w:name w:val="页脚 字符"/>
    <w:basedOn w:val="11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1039</Words>
  <Characters>1057</Characters>
  <Lines>31</Lines>
  <Paragraphs>8</Paragraphs>
  <TotalTime>1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2024-09-02T02:29:00Z</dcterms:created>
  <dc:creator>Snail</dc:creator>
  <cp:lastModifiedBy>22903</cp:lastModifiedBy>
  <dcterms:modified xsi:type="dcterms:W3CDTF">2026-02-27T14:44:51Z</dcterms:modified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22A1C82328824E9096960BE0B9BD6E15_13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