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D899C">
      <w:pPr>
        <w:spacing w:line="193" w:lineRule="exact"/>
        <w:rPr>
          <w:color w:val="auto"/>
        </w:rPr>
      </w:pPr>
    </w:p>
    <w:tbl>
      <w:tblPr>
        <w:tblStyle w:val="6"/>
        <w:tblW w:w="10026" w:type="dxa"/>
        <w:tblInd w:w="-10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5"/>
        <w:gridCol w:w="808"/>
        <w:gridCol w:w="849"/>
        <w:gridCol w:w="705"/>
        <w:gridCol w:w="146"/>
        <w:gridCol w:w="709"/>
        <w:gridCol w:w="696"/>
        <w:gridCol w:w="670"/>
        <w:gridCol w:w="66"/>
        <w:gridCol w:w="724"/>
        <w:gridCol w:w="535"/>
        <w:gridCol w:w="190"/>
        <w:gridCol w:w="725"/>
        <w:gridCol w:w="504"/>
        <w:gridCol w:w="221"/>
        <w:gridCol w:w="725"/>
        <w:gridCol w:w="758"/>
      </w:tblGrid>
      <w:tr w14:paraId="436C77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803" w:type="dxa"/>
            <w:gridSpan w:val="2"/>
            <w:vAlign w:val="top"/>
          </w:tcPr>
          <w:p w14:paraId="57756CF6">
            <w:pPr>
              <w:spacing w:before="85" w:line="222" w:lineRule="auto"/>
              <w:ind w:left="306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7"/>
                <w:sz w:val="24"/>
                <w:szCs w:val="24"/>
              </w:rPr>
              <w:t>课</w:t>
            </w:r>
            <w:r>
              <w:rPr>
                <w:rFonts w:hint="eastAsia" w:ascii="仿宋" w:hAnsi="仿宋" w:eastAsia="仿宋" w:cs="仿宋"/>
                <w:color w:val="auto"/>
                <w:spacing w:val="-4"/>
                <w:sz w:val="24"/>
                <w:szCs w:val="24"/>
              </w:rPr>
              <w:t>程名称</w:t>
            </w:r>
          </w:p>
        </w:tc>
        <w:tc>
          <w:tcPr>
            <w:tcW w:w="1554" w:type="dxa"/>
            <w:gridSpan w:val="2"/>
            <w:vAlign w:val="top"/>
          </w:tcPr>
          <w:p w14:paraId="4B38E3A9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云服务实践</w:t>
            </w:r>
          </w:p>
        </w:tc>
        <w:tc>
          <w:tcPr>
            <w:tcW w:w="1551" w:type="dxa"/>
            <w:gridSpan w:val="3"/>
            <w:vAlign w:val="top"/>
          </w:tcPr>
          <w:p w14:paraId="3D0C87C1">
            <w:pPr>
              <w:spacing w:before="87" w:line="222" w:lineRule="auto"/>
              <w:ind w:left="222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6"/>
                <w:sz w:val="24"/>
                <w:szCs w:val="24"/>
              </w:rPr>
              <w:t>授</w:t>
            </w:r>
            <w:r>
              <w:rPr>
                <w:rFonts w:hint="eastAsia" w:ascii="仿宋" w:hAnsi="仿宋" w:eastAsia="仿宋" w:cs="仿宋"/>
                <w:color w:val="auto"/>
                <w:spacing w:val="-4"/>
                <w:sz w:val="24"/>
                <w:szCs w:val="24"/>
              </w:rPr>
              <w:t>课班别</w:t>
            </w:r>
          </w:p>
        </w:tc>
        <w:tc>
          <w:tcPr>
            <w:tcW w:w="1995" w:type="dxa"/>
            <w:gridSpan w:val="4"/>
            <w:vAlign w:val="top"/>
          </w:tcPr>
          <w:p w14:paraId="152AA2E9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2023人工智能1班</w:t>
            </w:r>
          </w:p>
        </w:tc>
        <w:tc>
          <w:tcPr>
            <w:tcW w:w="1419" w:type="dxa"/>
            <w:gridSpan w:val="3"/>
            <w:vAlign w:val="top"/>
          </w:tcPr>
          <w:p w14:paraId="00F91C65">
            <w:pPr>
              <w:spacing w:before="87" w:line="222" w:lineRule="auto"/>
              <w:ind w:left="166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6"/>
                <w:sz w:val="24"/>
                <w:szCs w:val="24"/>
              </w:rPr>
              <w:t>任</w:t>
            </w:r>
            <w:r>
              <w:rPr>
                <w:rFonts w:hint="eastAsia" w:ascii="仿宋" w:hAnsi="仿宋" w:eastAsia="仿宋" w:cs="仿宋"/>
                <w:color w:val="auto"/>
                <w:spacing w:val="-4"/>
                <w:sz w:val="24"/>
                <w:szCs w:val="24"/>
              </w:rPr>
              <w:t>课教师</w:t>
            </w:r>
          </w:p>
        </w:tc>
        <w:tc>
          <w:tcPr>
            <w:tcW w:w="1704" w:type="dxa"/>
            <w:gridSpan w:val="3"/>
            <w:vAlign w:val="top"/>
          </w:tcPr>
          <w:p w14:paraId="2C3B5034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刘达康</w:t>
            </w:r>
          </w:p>
        </w:tc>
      </w:tr>
      <w:tr w14:paraId="4F00D8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3" w:hRule="atLeast"/>
        </w:trPr>
        <w:tc>
          <w:tcPr>
            <w:tcW w:w="1803" w:type="dxa"/>
            <w:gridSpan w:val="2"/>
            <w:vAlign w:val="top"/>
          </w:tcPr>
          <w:p w14:paraId="062AD6FE">
            <w:pPr>
              <w:spacing w:before="224" w:line="252" w:lineRule="auto"/>
              <w:ind w:left="206" w:right="144" w:firstLine="99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7"/>
                <w:sz w:val="24"/>
                <w:szCs w:val="24"/>
              </w:rPr>
              <w:t>课</w:t>
            </w:r>
            <w:r>
              <w:rPr>
                <w:rFonts w:hint="eastAsia" w:ascii="仿宋" w:hAnsi="仿宋" w:eastAsia="仿宋" w:cs="仿宋"/>
                <w:color w:val="auto"/>
                <w:spacing w:val="-4"/>
                <w:sz w:val="24"/>
                <w:szCs w:val="24"/>
              </w:rPr>
              <w:t>程标准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 xml:space="preserve"> </w:t>
            </w:r>
          </w:p>
          <w:p w14:paraId="33E2BB67">
            <w:pPr>
              <w:spacing w:before="224" w:line="252" w:lineRule="auto"/>
              <w:ind w:left="206" w:right="144" w:firstLine="99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13"/>
                <w:sz w:val="24"/>
                <w:szCs w:val="24"/>
              </w:rPr>
              <w:t>(</w:t>
            </w:r>
            <w:r>
              <w:rPr>
                <w:rFonts w:hint="eastAsia" w:ascii="仿宋" w:hAnsi="仿宋" w:eastAsia="仿宋" w:cs="仿宋"/>
                <w:color w:val="auto"/>
                <w:spacing w:val="-9"/>
                <w:sz w:val="24"/>
                <w:szCs w:val="24"/>
              </w:rPr>
              <w:t>大纲)名称</w:t>
            </w:r>
          </w:p>
        </w:tc>
        <w:tc>
          <w:tcPr>
            <w:tcW w:w="5100" w:type="dxa"/>
            <w:gridSpan w:val="9"/>
            <w:vAlign w:val="top"/>
          </w:tcPr>
          <w:p w14:paraId="74C46AC6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云服务实践课程标准</w:t>
            </w:r>
          </w:p>
        </w:tc>
        <w:tc>
          <w:tcPr>
            <w:tcW w:w="1419" w:type="dxa"/>
            <w:gridSpan w:val="3"/>
            <w:vAlign w:val="top"/>
          </w:tcPr>
          <w:p w14:paraId="02A43708">
            <w:pPr>
              <w:spacing w:line="312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32F352A7">
            <w:pPr>
              <w:spacing w:before="91" w:line="223" w:lineRule="auto"/>
              <w:ind w:left="167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7"/>
                <w:sz w:val="24"/>
                <w:szCs w:val="24"/>
              </w:rPr>
              <w:t>考</w:t>
            </w:r>
            <w:r>
              <w:rPr>
                <w:rFonts w:hint="eastAsia" w:ascii="仿宋" w:hAnsi="仿宋" w:eastAsia="仿宋" w:cs="仿宋"/>
                <w:color w:val="auto"/>
                <w:spacing w:val="-4"/>
                <w:sz w:val="24"/>
                <w:szCs w:val="24"/>
              </w:rPr>
              <w:t>核形式</w:t>
            </w:r>
          </w:p>
        </w:tc>
        <w:tc>
          <w:tcPr>
            <w:tcW w:w="1704" w:type="dxa"/>
            <w:gridSpan w:val="3"/>
            <w:vAlign w:val="top"/>
          </w:tcPr>
          <w:p w14:paraId="4CD6F30E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考试</w:t>
            </w:r>
          </w:p>
        </w:tc>
      </w:tr>
      <w:tr w14:paraId="621383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1803" w:type="dxa"/>
            <w:gridSpan w:val="2"/>
            <w:vAlign w:val="top"/>
          </w:tcPr>
          <w:p w14:paraId="02BD8919">
            <w:pPr>
              <w:spacing w:before="44" w:line="239" w:lineRule="auto"/>
              <w:ind w:left="586" w:right="214" w:hanging="352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4"/>
                <w:sz w:val="24"/>
                <w:szCs w:val="24"/>
              </w:rPr>
              <w:t>教</w:t>
            </w:r>
            <w:r>
              <w:rPr>
                <w:rFonts w:hint="eastAsia" w:ascii="仿宋" w:hAnsi="仿宋" w:eastAsia="仿宋" w:cs="仿宋"/>
                <w:color w:val="auto"/>
                <w:spacing w:val="-3"/>
                <w:sz w:val="24"/>
                <w:szCs w:val="24"/>
              </w:rPr>
              <w:t>材/学材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  <w:spacing w:val="-9"/>
                <w:sz w:val="24"/>
                <w:szCs w:val="24"/>
              </w:rPr>
              <w:t>名称</w:t>
            </w:r>
          </w:p>
          <w:p w14:paraId="7ED7D104">
            <w:pPr>
              <w:spacing w:line="214" w:lineRule="auto"/>
              <w:ind w:left="305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31"/>
                <w:sz w:val="24"/>
                <w:szCs w:val="24"/>
              </w:rPr>
              <w:t>(</w:t>
            </w:r>
            <w:r>
              <w:rPr>
                <w:rFonts w:hint="eastAsia" w:ascii="仿宋" w:hAnsi="仿宋" w:eastAsia="仿宋" w:cs="仿宋"/>
                <w:color w:val="auto"/>
                <w:spacing w:val="30"/>
                <w:sz w:val="24"/>
                <w:szCs w:val="24"/>
              </w:rPr>
              <w:t>如有)</w:t>
            </w:r>
          </w:p>
        </w:tc>
        <w:tc>
          <w:tcPr>
            <w:tcW w:w="3775" w:type="dxa"/>
            <w:gridSpan w:val="6"/>
            <w:vAlign w:val="top"/>
          </w:tcPr>
          <w:p w14:paraId="57D58823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Linux服务器部署</w:t>
            </w:r>
          </w:p>
        </w:tc>
        <w:tc>
          <w:tcPr>
            <w:tcW w:w="1325" w:type="dxa"/>
            <w:gridSpan w:val="3"/>
            <w:vAlign w:val="top"/>
          </w:tcPr>
          <w:p w14:paraId="73F23790">
            <w:pPr>
              <w:spacing w:before="225" w:line="253" w:lineRule="auto"/>
              <w:ind w:left="409" w:leftChars="174" w:right="111" w:hanging="44" w:hangingChars="22"/>
              <w:rPr>
                <w:rFonts w:hint="eastAsia" w:ascii="仿宋" w:hAnsi="仿宋" w:eastAsia="仿宋" w:cs="仿宋"/>
                <w:color w:val="auto"/>
                <w:spacing w:val="-15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18"/>
                <w:sz w:val="24"/>
                <w:szCs w:val="24"/>
              </w:rPr>
              <w:t>出</w:t>
            </w:r>
            <w:r>
              <w:rPr>
                <w:rFonts w:hint="eastAsia" w:ascii="仿宋" w:hAnsi="仿宋" w:eastAsia="仿宋" w:cs="仿宋"/>
                <w:color w:val="auto"/>
                <w:spacing w:val="-15"/>
                <w:sz w:val="24"/>
                <w:szCs w:val="24"/>
              </w:rPr>
              <w:t>版社</w:t>
            </w:r>
          </w:p>
          <w:p w14:paraId="5E77BCE1">
            <w:pPr>
              <w:spacing w:before="225" w:line="253" w:lineRule="auto"/>
              <w:ind w:right="111" w:firstLine="294" w:firstLineChars="100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27"/>
                <w:sz w:val="24"/>
                <w:szCs w:val="24"/>
              </w:rPr>
              <w:t>(</w:t>
            </w:r>
            <w:r>
              <w:rPr>
                <w:rFonts w:hint="eastAsia" w:ascii="仿宋" w:hAnsi="仿宋" w:eastAsia="仿宋" w:cs="仿宋"/>
                <w:color w:val="auto"/>
                <w:spacing w:val="25"/>
                <w:sz w:val="24"/>
                <w:szCs w:val="24"/>
              </w:rPr>
              <w:t>如有)</w:t>
            </w:r>
          </w:p>
        </w:tc>
        <w:tc>
          <w:tcPr>
            <w:tcW w:w="3123" w:type="dxa"/>
            <w:gridSpan w:val="6"/>
            <w:vAlign w:val="top"/>
          </w:tcPr>
          <w:p w14:paraId="778E3009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中国工信出版集团</w:t>
            </w:r>
          </w:p>
          <w:p w14:paraId="1E289177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电子工业出版社</w:t>
            </w:r>
          </w:p>
        </w:tc>
      </w:tr>
      <w:tr w14:paraId="347612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1803" w:type="dxa"/>
            <w:gridSpan w:val="2"/>
            <w:vAlign w:val="top"/>
          </w:tcPr>
          <w:p w14:paraId="1C6514BF">
            <w:pPr>
              <w:spacing w:before="45" w:line="226" w:lineRule="auto"/>
              <w:ind w:left="723" w:right="144" w:hanging="550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5"/>
                <w:sz w:val="24"/>
                <w:szCs w:val="24"/>
              </w:rPr>
              <w:t>主要参考资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料</w:t>
            </w:r>
          </w:p>
        </w:tc>
        <w:tc>
          <w:tcPr>
            <w:tcW w:w="8223" w:type="dxa"/>
            <w:gridSpan w:val="15"/>
            <w:vAlign w:val="top"/>
          </w:tcPr>
          <w:p w14:paraId="25FC7099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教材</w:t>
            </w:r>
          </w:p>
        </w:tc>
      </w:tr>
      <w:tr w14:paraId="0F762A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95" w:type="dxa"/>
            <w:vMerge w:val="restart"/>
            <w:tcBorders>
              <w:bottom w:val="nil"/>
            </w:tcBorders>
            <w:vAlign w:val="top"/>
          </w:tcPr>
          <w:p w14:paraId="10D7EA12">
            <w:pPr>
              <w:spacing w:line="362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5AE4BE65">
            <w:pPr>
              <w:spacing w:before="91" w:line="222" w:lineRule="auto"/>
              <w:ind w:left="181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9"/>
                <w:sz w:val="24"/>
                <w:szCs w:val="24"/>
              </w:rPr>
              <w:t>课程</w:t>
            </w:r>
          </w:p>
          <w:p w14:paraId="28B1B0D0">
            <w:pPr>
              <w:spacing w:before="25" w:line="222" w:lineRule="auto"/>
              <w:ind w:left="192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15"/>
                <w:sz w:val="24"/>
                <w:szCs w:val="24"/>
              </w:rPr>
              <w:t>总</w:t>
            </w:r>
            <w:r>
              <w:rPr>
                <w:rFonts w:hint="eastAsia" w:ascii="仿宋" w:hAnsi="仿宋" w:eastAsia="仿宋" w:cs="仿宋"/>
                <w:color w:val="auto"/>
                <w:spacing w:val="-14"/>
                <w:sz w:val="24"/>
                <w:szCs w:val="24"/>
              </w:rPr>
              <w:t>课</w:t>
            </w:r>
          </w:p>
          <w:p w14:paraId="18001D8F">
            <w:pPr>
              <w:spacing w:before="24" w:line="224" w:lineRule="auto"/>
              <w:ind w:left="341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时</w:t>
            </w:r>
          </w:p>
        </w:tc>
        <w:tc>
          <w:tcPr>
            <w:tcW w:w="808" w:type="dxa"/>
            <w:vMerge w:val="restart"/>
            <w:tcBorders>
              <w:bottom w:val="nil"/>
            </w:tcBorders>
            <w:vAlign w:val="top"/>
          </w:tcPr>
          <w:p w14:paraId="0C81F187">
            <w:pPr>
              <w:spacing w:line="271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7B636B8E">
            <w:pPr>
              <w:spacing w:line="272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42FB98BF">
            <w:pPr>
              <w:spacing w:before="91" w:line="253" w:lineRule="auto"/>
              <w:ind w:left="140" w:right="120" w:firstLine="35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27"/>
                <w:sz w:val="24"/>
                <w:szCs w:val="24"/>
              </w:rPr>
              <w:t>已</w:t>
            </w:r>
            <w:r>
              <w:rPr>
                <w:rFonts w:hint="eastAsia" w:ascii="仿宋" w:hAnsi="仿宋" w:eastAsia="仿宋" w:cs="仿宋"/>
                <w:color w:val="auto"/>
                <w:spacing w:val="-26"/>
                <w:sz w:val="24"/>
                <w:szCs w:val="24"/>
              </w:rPr>
              <w:t>授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  <w:spacing w:val="-9"/>
                <w:sz w:val="24"/>
                <w:szCs w:val="24"/>
              </w:rPr>
              <w:t>课时</w:t>
            </w:r>
          </w:p>
        </w:tc>
        <w:tc>
          <w:tcPr>
            <w:tcW w:w="849" w:type="dxa"/>
            <w:vMerge w:val="restart"/>
            <w:tcBorders>
              <w:bottom w:val="nil"/>
            </w:tcBorders>
            <w:vAlign w:val="top"/>
          </w:tcPr>
          <w:p w14:paraId="335C9B1F">
            <w:pPr>
              <w:spacing w:line="271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7A34F5E4">
            <w:pPr>
              <w:spacing w:line="272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4B818B35">
            <w:pPr>
              <w:spacing w:before="91" w:line="253" w:lineRule="auto"/>
              <w:ind w:left="162" w:right="139" w:firstLine="1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10"/>
                <w:sz w:val="24"/>
                <w:szCs w:val="24"/>
              </w:rPr>
              <w:t>未</w:t>
            </w:r>
            <w:r>
              <w:rPr>
                <w:rFonts w:hint="eastAsia" w:ascii="仿宋" w:hAnsi="仿宋" w:eastAsia="仿宋" w:cs="仿宋"/>
                <w:color w:val="auto"/>
                <w:spacing w:val="-9"/>
                <w:sz w:val="24"/>
                <w:szCs w:val="24"/>
              </w:rPr>
              <w:t>授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  <w:spacing w:val="-9"/>
                <w:sz w:val="24"/>
                <w:szCs w:val="24"/>
              </w:rPr>
              <w:t>课时</w:t>
            </w:r>
          </w:p>
        </w:tc>
        <w:tc>
          <w:tcPr>
            <w:tcW w:w="851" w:type="dxa"/>
            <w:gridSpan w:val="2"/>
            <w:vMerge w:val="restart"/>
            <w:tcBorders>
              <w:bottom w:val="nil"/>
            </w:tcBorders>
            <w:vAlign w:val="top"/>
          </w:tcPr>
          <w:p w14:paraId="340EB415">
            <w:pPr>
              <w:spacing w:before="273" w:line="223" w:lineRule="auto"/>
              <w:ind w:left="163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9"/>
                <w:sz w:val="24"/>
                <w:szCs w:val="24"/>
              </w:rPr>
              <w:t>本学</w:t>
            </w:r>
          </w:p>
          <w:p w14:paraId="24928F6D">
            <w:pPr>
              <w:spacing w:before="26" w:line="224" w:lineRule="auto"/>
              <w:ind w:left="301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期</w:t>
            </w:r>
          </w:p>
          <w:p w14:paraId="234298D2">
            <w:pPr>
              <w:spacing w:before="22" w:line="224" w:lineRule="auto"/>
              <w:ind w:left="161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8"/>
                <w:sz w:val="24"/>
                <w:szCs w:val="24"/>
              </w:rPr>
              <w:t>教学</w:t>
            </w:r>
          </w:p>
          <w:p w14:paraId="11A84320">
            <w:pPr>
              <w:spacing w:before="22" w:line="224" w:lineRule="auto"/>
              <w:ind w:left="164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10"/>
                <w:sz w:val="24"/>
                <w:szCs w:val="24"/>
              </w:rPr>
              <w:t>周</w:t>
            </w:r>
            <w:r>
              <w:rPr>
                <w:rFonts w:hint="eastAsia" w:ascii="仿宋" w:hAnsi="仿宋" w:eastAsia="仿宋" w:cs="仿宋"/>
                <w:color w:val="auto"/>
                <w:spacing w:val="-9"/>
                <w:sz w:val="24"/>
                <w:szCs w:val="24"/>
              </w:rPr>
              <w:t>数</w:t>
            </w:r>
          </w:p>
        </w:tc>
        <w:tc>
          <w:tcPr>
            <w:tcW w:w="6523" w:type="dxa"/>
            <w:gridSpan w:val="12"/>
            <w:vAlign w:val="top"/>
          </w:tcPr>
          <w:p w14:paraId="213FA20E">
            <w:pPr>
              <w:spacing w:before="45" w:line="214" w:lineRule="auto"/>
              <w:ind w:left="1877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2"/>
                <w:sz w:val="24"/>
                <w:szCs w:val="24"/>
              </w:rPr>
              <w:t>本学期课时分配 (</w:t>
            </w:r>
            <w:r>
              <w:rPr>
                <w:rFonts w:hint="eastAsia" w:ascii="仿宋" w:hAnsi="仿宋" w:eastAsia="仿宋" w:cs="仿宋"/>
                <w:color w:val="auto"/>
                <w:spacing w:val="-1"/>
                <w:sz w:val="24"/>
                <w:szCs w:val="24"/>
              </w:rPr>
              <w:t>节)</w:t>
            </w:r>
          </w:p>
        </w:tc>
      </w:tr>
      <w:tr w14:paraId="32ECE1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95" w:type="dxa"/>
            <w:vMerge w:val="continue"/>
            <w:tcBorders>
              <w:top w:val="nil"/>
              <w:bottom w:val="nil"/>
            </w:tcBorders>
            <w:vAlign w:val="top"/>
          </w:tcPr>
          <w:p w14:paraId="7B507620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08" w:type="dxa"/>
            <w:vMerge w:val="continue"/>
            <w:tcBorders>
              <w:top w:val="nil"/>
              <w:bottom w:val="nil"/>
            </w:tcBorders>
            <w:vAlign w:val="top"/>
          </w:tcPr>
          <w:p w14:paraId="532E9CA7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49" w:type="dxa"/>
            <w:vMerge w:val="continue"/>
            <w:tcBorders>
              <w:top w:val="nil"/>
              <w:bottom w:val="nil"/>
            </w:tcBorders>
            <w:vAlign w:val="top"/>
          </w:tcPr>
          <w:p w14:paraId="5117BF86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0ABC54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bottom w:val="nil"/>
            </w:tcBorders>
            <w:textDirection w:val="tbRlV"/>
            <w:vAlign w:val="top"/>
          </w:tcPr>
          <w:p w14:paraId="721F26A2">
            <w:pPr>
              <w:spacing w:before="202" w:line="215" w:lineRule="auto"/>
              <w:ind w:left="353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1"/>
                <w:sz w:val="24"/>
                <w:szCs w:val="24"/>
              </w:rPr>
              <w:t>周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课时</w:t>
            </w:r>
          </w:p>
        </w:tc>
        <w:tc>
          <w:tcPr>
            <w:tcW w:w="696" w:type="dxa"/>
            <w:vMerge w:val="restart"/>
            <w:tcBorders>
              <w:bottom w:val="nil"/>
            </w:tcBorders>
            <w:textDirection w:val="tbRlV"/>
            <w:vAlign w:val="top"/>
          </w:tcPr>
          <w:p w14:paraId="020A0264">
            <w:pPr>
              <w:spacing w:before="190" w:line="215" w:lineRule="auto"/>
              <w:ind w:left="353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1"/>
                <w:sz w:val="24"/>
                <w:szCs w:val="24"/>
              </w:rPr>
              <w:t>总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课时</w:t>
            </w:r>
          </w:p>
        </w:tc>
        <w:tc>
          <w:tcPr>
            <w:tcW w:w="5118" w:type="dxa"/>
            <w:gridSpan w:val="10"/>
            <w:vAlign w:val="top"/>
          </w:tcPr>
          <w:p w14:paraId="305D2655">
            <w:pPr>
              <w:spacing w:before="51" w:line="219" w:lineRule="auto"/>
              <w:ind w:left="2163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9"/>
                <w:sz w:val="24"/>
                <w:szCs w:val="24"/>
              </w:rPr>
              <w:t>其</w:t>
            </w:r>
            <w:r>
              <w:rPr>
                <w:rFonts w:hint="eastAsia" w:ascii="仿宋" w:hAnsi="仿宋" w:eastAsia="仿宋" w:cs="仿宋"/>
                <w:color w:val="auto"/>
                <w:spacing w:val="8"/>
                <w:sz w:val="24"/>
                <w:szCs w:val="24"/>
              </w:rPr>
              <w:t xml:space="preserve">  中</w:t>
            </w:r>
          </w:p>
        </w:tc>
      </w:tr>
      <w:tr w14:paraId="5071FD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995" w:type="dxa"/>
            <w:vMerge w:val="continue"/>
            <w:tcBorders>
              <w:top w:val="nil"/>
            </w:tcBorders>
            <w:vAlign w:val="top"/>
          </w:tcPr>
          <w:p w14:paraId="2009C713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08" w:type="dxa"/>
            <w:vMerge w:val="continue"/>
            <w:tcBorders>
              <w:top w:val="nil"/>
            </w:tcBorders>
            <w:vAlign w:val="top"/>
          </w:tcPr>
          <w:p w14:paraId="2C7C948D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49" w:type="dxa"/>
            <w:vMerge w:val="continue"/>
            <w:tcBorders>
              <w:top w:val="nil"/>
            </w:tcBorders>
            <w:vAlign w:val="top"/>
          </w:tcPr>
          <w:p w14:paraId="4F12A112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Merge w:val="continue"/>
            <w:tcBorders>
              <w:top w:val="nil"/>
            </w:tcBorders>
            <w:vAlign w:val="top"/>
          </w:tcPr>
          <w:p w14:paraId="0A5E146C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nil"/>
            </w:tcBorders>
            <w:textDirection w:val="tbRlV"/>
            <w:vAlign w:val="top"/>
          </w:tcPr>
          <w:p w14:paraId="642DAA6C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696" w:type="dxa"/>
            <w:vMerge w:val="continue"/>
            <w:tcBorders>
              <w:top w:val="nil"/>
            </w:tcBorders>
            <w:textDirection w:val="tbRlV"/>
            <w:vAlign w:val="top"/>
          </w:tcPr>
          <w:p w14:paraId="2A426D82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736" w:type="dxa"/>
            <w:gridSpan w:val="2"/>
            <w:textDirection w:val="tbRlV"/>
            <w:vAlign w:val="top"/>
          </w:tcPr>
          <w:p w14:paraId="11419A61">
            <w:pPr>
              <w:spacing w:before="208" w:line="216" w:lineRule="auto"/>
              <w:ind w:left="158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1"/>
                <w:sz w:val="24"/>
                <w:szCs w:val="24"/>
              </w:rPr>
              <w:t>一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体化</w:t>
            </w:r>
          </w:p>
        </w:tc>
        <w:tc>
          <w:tcPr>
            <w:tcW w:w="724" w:type="dxa"/>
            <w:textDirection w:val="tbRlV"/>
            <w:vAlign w:val="top"/>
          </w:tcPr>
          <w:p w14:paraId="248E8DD2">
            <w:pPr>
              <w:spacing w:before="210" w:line="217" w:lineRule="auto"/>
              <w:ind w:left="17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企业参观</w:t>
            </w:r>
          </w:p>
        </w:tc>
        <w:tc>
          <w:tcPr>
            <w:tcW w:w="725" w:type="dxa"/>
            <w:gridSpan w:val="2"/>
            <w:textDirection w:val="tbRlV"/>
            <w:vAlign w:val="top"/>
          </w:tcPr>
          <w:p w14:paraId="65BA183E">
            <w:pPr>
              <w:spacing w:before="207" w:line="216" w:lineRule="auto"/>
              <w:ind w:left="17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企业实践</w:t>
            </w:r>
          </w:p>
        </w:tc>
        <w:tc>
          <w:tcPr>
            <w:tcW w:w="725" w:type="dxa"/>
            <w:textDirection w:val="tbRlV"/>
            <w:vAlign w:val="top"/>
          </w:tcPr>
          <w:p w14:paraId="5F98670D">
            <w:pPr>
              <w:spacing w:before="208" w:line="215" w:lineRule="auto"/>
              <w:ind w:left="17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校外活动</w:t>
            </w:r>
          </w:p>
        </w:tc>
        <w:tc>
          <w:tcPr>
            <w:tcW w:w="725" w:type="dxa"/>
            <w:gridSpan w:val="2"/>
            <w:textDirection w:val="tbRlV"/>
            <w:vAlign w:val="top"/>
          </w:tcPr>
          <w:p w14:paraId="548FDBCF">
            <w:pPr>
              <w:spacing w:before="207" w:line="217" w:lineRule="auto"/>
              <w:ind w:left="297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1"/>
                <w:sz w:val="24"/>
                <w:szCs w:val="24"/>
              </w:rPr>
              <w:t>测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验</w:t>
            </w:r>
          </w:p>
        </w:tc>
        <w:tc>
          <w:tcPr>
            <w:tcW w:w="725" w:type="dxa"/>
            <w:textDirection w:val="tbRlV"/>
            <w:vAlign w:val="top"/>
          </w:tcPr>
          <w:p w14:paraId="4C05B50A">
            <w:pPr>
              <w:spacing w:before="208" w:line="216" w:lineRule="auto"/>
              <w:ind w:left="297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1"/>
                <w:sz w:val="24"/>
                <w:szCs w:val="24"/>
              </w:rPr>
              <w:t>考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试</w:t>
            </w:r>
          </w:p>
        </w:tc>
        <w:tc>
          <w:tcPr>
            <w:tcW w:w="758" w:type="dxa"/>
            <w:textDirection w:val="tbRlV"/>
            <w:vAlign w:val="top"/>
          </w:tcPr>
          <w:p w14:paraId="460F1C8E">
            <w:pPr>
              <w:spacing w:before="226" w:line="216" w:lineRule="auto"/>
              <w:ind w:left="297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1"/>
                <w:sz w:val="24"/>
                <w:szCs w:val="24"/>
              </w:rPr>
              <w:t>机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动</w:t>
            </w:r>
          </w:p>
        </w:tc>
      </w:tr>
      <w:tr w14:paraId="597974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995" w:type="dxa"/>
            <w:vAlign w:val="top"/>
          </w:tcPr>
          <w:p w14:paraId="1C3A2D45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808" w:type="dxa"/>
            <w:vAlign w:val="top"/>
          </w:tcPr>
          <w:p w14:paraId="0080D203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849" w:type="dxa"/>
            <w:vAlign w:val="top"/>
          </w:tcPr>
          <w:p w14:paraId="56FE5522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851" w:type="dxa"/>
            <w:gridSpan w:val="2"/>
            <w:vAlign w:val="top"/>
          </w:tcPr>
          <w:p w14:paraId="4FDFA5A6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709" w:type="dxa"/>
            <w:vAlign w:val="top"/>
          </w:tcPr>
          <w:p w14:paraId="1CF9367F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96" w:type="dxa"/>
            <w:vAlign w:val="top"/>
          </w:tcPr>
          <w:p w14:paraId="4198D841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120</w:t>
            </w:r>
          </w:p>
        </w:tc>
        <w:tc>
          <w:tcPr>
            <w:tcW w:w="736" w:type="dxa"/>
            <w:gridSpan w:val="2"/>
            <w:vAlign w:val="top"/>
          </w:tcPr>
          <w:p w14:paraId="684DC2ED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92</w:t>
            </w:r>
          </w:p>
        </w:tc>
        <w:tc>
          <w:tcPr>
            <w:tcW w:w="724" w:type="dxa"/>
            <w:vAlign w:val="top"/>
          </w:tcPr>
          <w:p w14:paraId="51FC9248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25" w:type="dxa"/>
            <w:gridSpan w:val="2"/>
            <w:vAlign w:val="top"/>
          </w:tcPr>
          <w:p w14:paraId="64668240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25" w:type="dxa"/>
            <w:vAlign w:val="top"/>
          </w:tcPr>
          <w:p w14:paraId="7C998B24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725" w:type="dxa"/>
            <w:gridSpan w:val="2"/>
            <w:vAlign w:val="top"/>
          </w:tcPr>
          <w:p w14:paraId="60D5A4C1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725" w:type="dxa"/>
            <w:vAlign w:val="top"/>
          </w:tcPr>
          <w:p w14:paraId="60426325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758" w:type="dxa"/>
            <w:vAlign w:val="top"/>
          </w:tcPr>
          <w:p w14:paraId="50B3102A">
            <w:pPr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16</w:t>
            </w:r>
          </w:p>
        </w:tc>
      </w:tr>
      <w:tr w14:paraId="5330A1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10026" w:type="dxa"/>
            <w:gridSpan w:val="17"/>
            <w:vAlign w:val="top"/>
          </w:tcPr>
          <w:p w14:paraId="0A845AE0">
            <w:pPr>
              <w:spacing w:before="52" w:line="229" w:lineRule="auto"/>
              <w:ind w:left="128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4"/>
                <w:sz w:val="24"/>
                <w:szCs w:val="24"/>
              </w:rPr>
              <w:t>说</w:t>
            </w:r>
            <w:r>
              <w:rPr>
                <w:rFonts w:hint="eastAsia" w:ascii="仿宋" w:hAnsi="仿宋" w:eastAsia="仿宋" w:cs="仿宋"/>
                <w:color w:val="auto"/>
                <w:spacing w:val="3"/>
                <w:sz w:val="24"/>
                <w:szCs w:val="24"/>
              </w:rPr>
              <w:t>明事项：</w:t>
            </w:r>
          </w:p>
        </w:tc>
      </w:tr>
      <w:tr w14:paraId="0D9897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0026" w:type="dxa"/>
            <w:gridSpan w:val="17"/>
            <w:vAlign w:val="top"/>
          </w:tcPr>
          <w:p w14:paraId="6263E5AF">
            <w:pPr>
              <w:spacing w:before="54" w:line="228" w:lineRule="auto"/>
              <w:ind w:left="126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9"/>
                <w:sz w:val="24"/>
                <w:szCs w:val="24"/>
              </w:rPr>
              <w:t>教</w:t>
            </w:r>
            <w:r>
              <w:rPr>
                <w:rFonts w:hint="eastAsia" w:ascii="仿宋" w:hAnsi="仿宋" w:eastAsia="仿宋" w:cs="仿宋"/>
                <w:color w:val="auto"/>
                <w:spacing w:val="5"/>
                <w:sz w:val="24"/>
                <w:szCs w:val="24"/>
              </w:rPr>
              <w:t>学评价说明：</w:t>
            </w:r>
          </w:p>
        </w:tc>
      </w:tr>
    </w:tbl>
    <w:p w14:paraId="1B061B58">
      <w:pPr>
        <w:rPr>
          <w:rFonts w:hint="eastAsia" w:ascii="仿宋" w:hAnsi="仿宋" w:eastAsia="仿宋" w:cs="仿宋"/>
          <w:color w:val="auto"/>
          <w:sz w:val="24"/>
          <w:szCs w:val="24"/>
        </w:rPr>
      </w:pPr>
    </w:p>
    <w:p w14:paraId="2FD4884F">
      <w:pPr>
        <w:rPr>
          <w:rFonts w:hint="eastAsia" w:ascii="仿宋" w:hAnsi="仿宋" w:eastAsia="仿宋" w:cs="仿宋"/>
          <w:color w:val="auto"/>
          <w:sz w:val="24"/>
          <w:szCs w:val="24"/>
        </w:rPr>
        <w:sectPr>
          <w:headerReference r:id="rId5" w:type="default"/>
          <w:footerReference r:id="rId6" w:type="default"/>
          <w:pgSz w:w="11906" w:h="16839"/>
          <w:pgMar w:top="400" w:right="933" w:bottom="1741" w:left="1045" w:header="0" w:footer="1467" w:gutter="0"/>
          <w:cols w:space="720" w:num="1"/>
        </w:sectPr>
      </w:pPr>
    </w:p>
    <w:p w14:paraId="0B35700F">
      <w:pPr>
        <w:rPr>
          <w:rFonts w:hint="eastAsia" w:ascii="仿宋" w:hAnsi="仿宋" w:eastAsia="仿宋" w:cs="仿宋"/>
          <w:color w:val="auto"/>
          <w:sz w:val="24"/>
          <w:szCs w:val="24"/>
        </w:rPr>
      </w:pPr>
    </w:p>
    <w:p w14:paraId="294A9121">
      <w:pPr>
        <w:spacing w:line="79" w:lineRule="auto"/>
        <w:rPr>
          <w:rFonts w:hint="eastAsia" w:ascii="仿宋" w:hAnsi="仿宋" w:eastAsia="仿宋" w:cs="仿宋"/>
          <w:color w:val="auto"/>
          <w:sz w:val="24"/>
          <w:szCs w:val="24"/>
        </w:rPr>
      </w:pPr>
    </w:p>
    <w:tbl>
      <w:tblPr>
        <w:tblStyle w:val="6"/>
        <w:tblW w:w="1023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3"/>
        <w:gridCol w:w="9217"/>
      </w:tblGrid>
      <w:tr w14:paraId="246571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2" w:hRule="atLeast"/>
          <w:jc w:val="center"/>
        </w:trPr>
        <w:tc>
          <w:tcPr>
            <w:tcW w:w="1013" w:type="dxa"/>
            <w:vMerge w:val="restart"/>
            <w:tcBorders>
              <w:bottom w:val="nil"/>
            </w:tcBorders>
            <w:textDirection w:val="tbRlV"/>
            <w:vAlign w:val="top"/>
          </w:tcPr>
          <w:p w14:paraId="1A54027E">
            <w:pPr>
              <w:spacing w:before="272" w:line="216" w:lineRule="auto"/>
              <w:ind w:left="1397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35"/>
                <w:sz w:val="24"/>
                <w:szCs w:val="24"/>
              </w:rPr>
              <w:t>审 核 意 见</w:t>
            </w:r>
          </w:p>
        </w:tc>
        <w:tc>
          <w:tcPr>
            <w:tcW w:w="9217" w:type="dxa"/>
            <w:vAlign w:val="top"/>
          </w:tcPr>
          <w:p w14:paraId="7A4745FC">
            <w:pPr>
              <w:spacing w:line="279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1B868891">
            <w:pPr>
              <w:spacing w:line="280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1581E374">
            <w:pPr>
              <w:spacing w:line="280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68341EE9">
            <w:pPr>
              <w:spacing w:before="85" w:line="192" w:lineRule="auto"/>
              <w:ind w:left="3073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8"/>
                <w:sz w:val="24"/>
                <w:szCs w:val="24"/>
              </w:rPr>
              <w:t>教研</w:t>
            </w:r>
            <w:r>
              <w:rPr>
                <w:rFonts w:hint="eastAsia" w:ascii="仿宋" w:hAnsi="仿宋" w:eastAsia="仿宋" w:cs="仿宋"/>
                <w:color w:val="auto"/>
                <w:spacing w:val="-7"/>
                <w:sz w:val="24"/>
                <w:szCs w:val="24"/>
              </w:rPr>
              <w:t>组</w:t>
            </w:r>
            <w:r>
              <w:rPr>
                <w:rFonts w:hint="eastAsia" w:ascii="仿宋" w:hAnsi="仿宋" w:eastAsia="仿宋" w:cs="仿宋"/>
                <w:color w:val="auto"/>
                <w:spacing w:val="-4"/>
                <w:sz w:val="24"/>
                <w:szCs w:val="24"/>
              </w:rPr>
              <w:t>长：</w:t>
            </w:r>
            <w:r>
              <w:rPr>
                <w:rFonts w:hint="eastAsia" w:ascii="仿宋" w:hAnsi="仿宋" w:eastAsia="仿宋" w:cs="仿宋"/>
                <w:color w:val="auto"/>
                <w:spacing w:val="-16"/>
                <w:sz w:val="24"/>
                <w:szCs w:val="24"/>
                <w:u w:val="single" w:color="auto"/>
              </w:rPr>
              <w:t xml:space="preserve">            </w:t>
            </w:r>
            <w:r>
              <w:rPr>
                <w:rFonts w:hint="eastAsia" w:ascii="仿宋" w:hAnsi="仿宋" w:eastAsia="仿宋" w:cs="仿宋"/>
                <w:color w:val="auto"/>
                <w:spacing w:val="-16"/>
                <w:sz w:val="24"/>
                <w:szCs w:val="24"/>
                <w:u w:val="single" w:color="auto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 w:cs="仿宋"/>
                <w:color w:val="auto"/>
                <w:spacing w:val="-4"/>
                <w:sz w:val="24"/>
                <w:szCs w:val="24"/>
              </w:rPr>
              <w:t>日期：</w:t>
            </w:r>
            <w:r>
              <w:rPr>
                <w:rFonts w:hint="eastAsia" w:ascii="仿宋" w:hAnsi="仿宋" w:eastAsia="仿宋" w:cs="仿宋"/>
                <w:color w:val="auto"/>
                <w:spacing w:val="-16"/>
                <w:sz w:val="24"/>
                <w:szCs w:val="24"/>
                <w:u w:val="single" w:color="auto"/>
              </w:rPr>
              <w:t xml:space="preserve">                 </w:t>
            </w:r>
          </w:p>
        </w:tc>
      </w:tr>
      <w:tr w14:paraId="1B2730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 w:hRule="atLeast"/>
          <w:jc w:val="center"/>
        </w:trPr>
        <w:tc>
          <w:tcPr>
            <w:tcW w:w="101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B026DDB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9217" w:type="dxa"/>
            <w:vAlign w:val="top"/>
          </w:tcPr>
          <w:p w14:paraId="707491C8">
            <w:pPr>
              <w:spacing w:line="265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6138FA50">
            <w:pPr>
              <w:spacing w:line="266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2592E062">
            <w:pPr>
              <w:spacing w:line="266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38456880">
            <w:pPr>
              <w:spacing w:before="91" w:line="208" w:lineRule="auto"/>
              <w:ind w:firstLine="3030" w:firstLineChars="1500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19"/>
                <w:sz w:val="24"/>
                <w:szCs w:val="24"/>
              </w:rPr>
              <w:t>系</w:t>
            </w:r>
            <w:r>
              <w:rPr>
                <w:rFonts w:hint="eastAsia" w:ascii="仿宋" w:hAnsi="仿宋" w:eastAsia="仿宋" w:cs="仿宋"/>
                <w:color w:val="auto"/>
                <w:spacing w:val="-16"/>
                <w:sz w:val="24"/>
                <w:szCs w:val="24"/>
              </w:rPr>
              <w:t>(部)主任：</w:t>
            </w:r>
            <w:r>
              <w:rPr>
                <w:rFonts w:hint="eastAsia" w:ascii="仿宋" w:hAnsi="仿宋" w:eastAsia="仿宋" w:cs="仿宋"/>
                <w:color w:val="auto"/>
                <w:spacing w:val="-16"/>
                <w:sz w:val="24"/>
                <w:szCs w:val="24"/>
                <w:u w:val="single" w:color="auto"/>
              </w:rPr>
              <w:t xml:space="preserve">                 </w:t>
            </w:r>
            <w:r>
              <w:rPr>
                <w:rFonts w:hint="eastAsia" w:ascii="仿宋" w:hAnsi="仿宋" w:eastAsia="仿宋" w:cs="仿宋"/>
                <w:color w:val="auto"/>
                <w:spacing w:val="-16"/>
                <w:sz w:val="24"/>
                <w:szCs w:val="24"/>
                <w:u w:val="single" w:color="auto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  <w:spacing w:val="-16"/>
                <w:sz w:val="24"/>
                <w:szCs w:val="24"/>
              </w:rPr>
              <w:t>日期：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 w:color="auto"/>
              </w:rPr>
              <w:t xml:space="preserve">            </w:t>
            </w:r>
          </w:p>
        </w:tc>
      </w:tr>
      <w:tr w14:paraId="79E75D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7" w:hRule="atLeast"/>
          <w:jc w:val="center"/>
        </w:trPr>
        <w:tc>
          <w:tcPr>
            <w:tcW w:w="101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503FAF5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9217" w:type="dxa"/>
            <w:vAlign w:val="top"/>
          </w:tcPr>
          <w:p w14:paraId="51776ECF">
            <w:pPr>
              <w:spacing w:line="253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183690E6">
            <w:pPr>
              <w:spacing w:line="253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3E07246B">
            <w:pPr>
              <w:spacing w:line="253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4F7B8631">
            <w:pPr>
              <w:spacing w:before="85" w:line="191" w:lineRule="auto"/>
              <w:ind w:left="3097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8"/>
                <w:sz w:val="24"/>
                <w:szCs w:val="24"/>
              </w:rPr>
              <w:t>教务主</w:t>
            </w:r>
            <w:r>
              <w:rPr>
                <w:rFonts w:hint="eastAsia" w:ascii="仿宋" w:hAnsi="仿宋" w:eastAsia="仿宋" w:cs="仿宋"/>
                <w:color w:val="auto"/>
                <w:spacing w:val="-5"/>
                <w:sz w:val="24"/>
                <w:szCs w:val="24"/>
              </w:rPr>
              <w:t>任</w:t>
            </w:r>
            <w:r>
              <w:rPr>
                <w:rFonts w:hint="eastAsia" w:ascii="仿宋" w:hAnsi="仿宋" w:eastAsia="仿宋" w:cs="仿宋"/>
                <w:color w:val="auto"/>
                <w:spacing w:val="-4"/>
                <w:sz w:val="24"/>
                <w:szCs w:val="24"/>
              </w:rPr>
              <w:t>：</w:t>
            </w:r>
            <w:r>
              <w:rPr>
                <w:rFonts w:ascii="仿宋" w:hAnsi="仿宋" w:eastAsia="仿宋" w:cs="仿宋"/>
                <w:color w:val="auto"/>
                <w:spacing w:val="-16"/>
                <w:sz w:val="28"/>
                <w:szCs w:val="28"/>
                <w:u w:val="single" w:color="auto"/>
              </w:rPr>
              <w:t xml:space="preserve">               </w:t>
            </w:r>
            <w:r>
              <w:rPr>
                <w:rFonts w:hint="eastAsia" w:ascii="仿宋" w:hAnsi="仿宋" w:eastAsia="仿宋" w:cs="仿宋"/>
                <w:color w:val="auto"/>
                <w:spacing w:val="-4"/>
                <w:sz w:val="24"/>
                <w:szCs w:val="24"/>
              </w:rPr>
              <w:t>日期：</w:t>
            </w:r>
            <w:r>
              <w:rPr>
                <w:rFonts w:ascii="仿宋" w:hAnsi="仿宋" w:eastAsia="仿宋" w:cs="仿宋"/>
                <w:color w:val="auto"/>
                <w:spacing w:val="-16"/>
                <w:sz w:val="28"/>
                <w:szCs w:val="28"/>
                <w:u w:val="single" w:color="auto"/>
              </w:rPr>
              <w:t xml:space="preserve">             </w:t>
            </w:r>
          </w:p>
        </w:tc>
      </w:tr>
      <w:tr w14:paraId="6822F1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3" w:hRule="atLeast"/>
          <w:jc w:val="center"/>
        </w:trPr>
        <w:tc>
          <w:tcPr>
            <w:tcW w:w="1013" w:type="dxa"/>
            <w:vMerge w:val="continue"/>
            <w:tcBorders>
              <w:top w:val="nil"/>
            </w:tcBorders>
            <w:textDirection w:val="tbRlV"/>
            <w:vAlign w:val="top"/>
          </w:tcPr>
          <w:p w14:paraId="40B6C0D0">
            <w:pP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9217" w:type="dxa"/>
            <w:vAlign w:val="top"/>
          </w:tcPr>
          <w:p w14:paraId="2195E971">
            <w:pPr>
              <w:spacing w:line="266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59F7A848">
            <w:pPr>
              <w:spacing w:line="266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0808E379">
            <w:pPr>
              <w:spacing w:line="267" w:lineRule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  <w:p w14:paraId="6279FB86">
            <w:pPr>
              <w:spacing w:before="91" w:line="209" w:lineRule="auto"/>
              <w:ind w:left="3101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pacing w:val="-12"/>
                <w:sz w:val="24"/>
                <w:szCs w:val="24"/>
              </w:rPr>
              <w:t>分管</w:t>
            </w:r>
            <w:r>
              <w:rPr>
                <w:rFonts w:hint="eastAsia" w:ascii="仿宋" w:hAnsi="仿宋" w:eastAsia="仿宋" w:cs="仿宋"/>
                <w:color w:val="auto"/>
                <w:spacing w:val="-11"/>
                <w:sz w:val="24"/>
                <w:szCs w:val="24"/>
              </w:rPr>
              <w:t>校</w:t>
            </w:r>
            <w:r>
              <w:rPr>
                <w:rFonts w:hint="eastAsia" w:ascii="仿宋" w:hAnsi="仿宋" w:eastAsia="仿宋" w:cs="仿宋"/>
                <w:color w:val="auto"/>
                <w:spacing w:val="-6"/>
                <w:sz w:val="24"/>
                <w:szCs w:val="24"/>
              </w:rPr>
              <w:t>长：</w:t>
            </w:r>
            <w:r>
              <w:rPr>
                <w:rFonts w:ascii="仿宋" w:hAnsi="仿宋" w:eastAsia="仿宋" w:cs="仿宋"/>
                <w:color w:val="auto"/>
                <w:spacing w:val="-16"/>
                <w:sz w:val="28"/>
                <w:szCs w:val="28"/>
                <w:u w:val="single" w:color="auto"/>
              </w:rPr>
              <w:t xml:space="preserve">                </w:t>
            </w:r>
            <w:r>
              <w:rPr>
                <w:rFonts w:hint="eastAsia" w:ascii="仿宋" w:hAnsi="仿宋" w:eastAsia="仿宋" w:cs="仿宋"/>
                <w:color w:val="auto"/>
                <w:spacing w:val="-6"/>
                <w:sz w:val="24"/>
                <w:szCs w:val="24"/>
              </w:rPr>
              <w:t>日期：</w:t>
            </w:r>
            <w:r>
              <w:rPr>
                <w:rFonts w:ascii="仿宋" w:hAnsi="仿宋" w:eastAsia="仿宋" w:cs="仿宋"/>
                <w:color w:val="auto"/>
                <w:spacing w:val="-16"/>
                <w:sz w:val="28"/>
                <w:szCs w:val="28"/>
                <w:u w:val="single" w:color="auto"/>
              </w:rPr>
              <w:t xml:space="preserve">             </w:t>
            </w:r>
          </w:p>
        </w:tc>
      </w:tr>
    </w:tbl>
    <w:p w14:paraId="32EE419C">
      <w:pPr>
        <w:rPr>
          <w:rFonts w:hint="eastAsia" w:ascii="仿宋" w:hAnsi="仿宋" w:eastAsia="仿宋" w:cs="仿宋"/>
          <w:color w:val="auto"/>
          <w:sz w:val="24"/>
          <w:szCs w:val="24"/>
        </w:rPr>
      </w:pPr>
    </w:p>
    <w:p w14:paraId="25F5C30E">
      <w:pPr>
        <w:spacing w:line="197" w:lineRule="exact"/>
        <w:rPr>
          <w:rFonts w:hint="eastAsia" w:ascii="仿宋" w:hAnsi="仿宋" w:eastAsia="仿宋" w:cs="仿宋"/>
          <w:color w:val="auto"/>
          <w:sz w:val="24"/>
          <w:szCs w:val="24"/>
        </w:rPr>
      </w:pPr>
    </w:p>
    <w:tbl>
      <w:tblPr>
        <w:tblStyle w:val="6"/>
        <w:tblW w:w="10203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7"/>
        <w:gridCol w:w="929"/>
        <w:gridCol w:w="796"/>
        <w:gridCol w:w="1514"/>
        <w:gridCol w:w="1244"/>
        <w:gridCol w:w="1904"/>
        <w:gridCol w:w="1604"/>
        <w:gridCol w:w="825"/>
      </w:tblGrid>
      <w:tr w14:paraId="2E3345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  <w:jc w:val="center"/>
        </w:trPr>
        <w:tc>
          <w:tcPr>
            <w:tcW w:w="1387" w:type="dxa"/>
            <w:vAlign w:val="center"/>
          </w:tcPr>
          <w:p w14:paraId="2AE7C87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52"/>
                <w:szCs w:val="52"/>
              </w:rPr>
            </w:pPr>
            <w:r>
              <w:rPr>
                <w:rFonts w:hint="eastAsia" w:ascii="宋体" w:hAnsi="宋体" w:eastAsia="宋体" w:cs="宋体"/>
                <w:color w:val="333333"/>
                <w:sz w:val="15"/>
                <w:szCs w:val="15"/>
              </w:rPr>
              <w:t>学习任务</w:t>
            </w:r>
          </w:p>
        </w:tc>
        <w:tc>
          <w:tcPr>
            <w:tcW w:w="929" w:type="dxa"/>
            <w:vAlign w:val="center"/>
          </w:tcPr>
          <w:p w14:paraId="05C12BC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52"/>
                <w:szCs w:val="52"/>
              </w:rPr>
            </w:pPr>
            <w:r>
              <w:rPr>
                <w:rFonts w:hint="eastAsia" w:ascii="宋体" w:hAnsi="宋体" w:eastAsia="宋体" w:cs="宋体"/>
                <w:color w:val="333333"/>
                <w:sz w:val="15"/>
                <w:szCs w:val="15"/>
              </w:rPr>
              <w:t>总课时</w:t>
            </w:r>
          </w:p>
        </w:tc>
        <w:tc>
          <w:tcPr>
            <w:tcW w:w="796" w:type="dxa"/>
            <w:vAlign w:val="center"/>
          </w:tcPr>
          <w:p w14:paraId="51867A6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52"/>
                <w:szCs w:val="52"/>
              </w:rPr>
            </w:pPr>
            <w:r>
              <w:rPr>
                <w:rFonts w:hint="eastAsia" w:ascii="宋体" w:hAnsi="宋体" w:eastAsia="宋体" w:cs="宋体"/>
                <w:color w:val="333333"/>
                <w:sz w:val="15"/>
                <w:szCs w:val="15"/>
              </w:rPr>
              <w:t>周次</w:t>
            </w:r>
          </w:p>
        </w:tc>
        <w:tc>
          <w:tcPr>
            <w:tcW w:w="1514" w:type="dxa"/>
            <w:vAlign w:val="center"/>
          </w:tcPr>
          <w:p w14:paraId="02AEE8B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52"/>
                <w:szCs w:val="52"/>
              </w:rPr>
            </w:pPr>
            <w:r>
              <w:rPr>
                <w:rFonts w:hint="eastAsia" w:ascii="宋体" w:hAnsi="宋体" w:eastAsia="宋体" w:cs="宋体"/>
                <w:color w:val="333333"/>
                <w:sz w:val="15"/>
                <w:szCs w:val="15"/>
              </w:rPr>
              <w:t>学习活动</w:t>
            </w:r>
          </w:p>
        </w:tc>
        <w:tc>
          <w:tcPr>
            <w:tcW w:w="1244" w:type="dxa"/>
            <w:vAlign w:val="center"/>
          </w:tcPr>
          <w:p w14:paraId="0AA10CB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52"/>
                <w:szCs w:val="52"/>
              </w:rPr>
            </w:pPr>
            <w:r>
              <w:rPr>
                <w:rFonts w:hint="eastAsia" w:ascii="宋体" w:hAnsi="宋体" w:eastAsia="宋体" w:cs="宋体"/>
                <w:color w:val="333333"/>
                <w:sz w:val="15"/>
                <w:szCs w:val="15"/>
              </w:rPr>
              <w:t>分课时</w:t>
            </w:r>
          </w:p>
        </w:tc>
        <w:tc>
          <w:tcPr>
            <w:tcW w:w="1904" w:type="dxa"/>
            <w:vAlign w:val="center"/>
          </w:tcPr>
          <w:p w14:paraId="6A9BBF2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52"/>
                <w:szCs w:val="52"/>
              </w:rPr>
            </w:pPr>
            <w:r>
              <w:rPr>
                <w:rFonts w:hint="eastAsia" w:ascii="宋体" w:hAnsi="宋体" w:eastAsia="宋体" w:cs="宋体"/>
                <w:color w:val="333333"/>
                <w:sz w:val="15"/>
                <w:szCs w:val="15"/>
              </w:rPr>
              <w:t>主要学习内容</w:t>
            </w:r>
          </w:p>
        </w:tc>
        <w:tc>
          <w:tcPr>
            <w:tcW w:w="1604" w:type="dxa"/>
            <w:vAlign w:val="center"/>
          </w:tcPr>
          <w:p w14:paraId="300F96C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52"/>
                <w:szCs w:val="52"/>
              </w:rPr>
            </w:pPr>
            <w:r>
              <w:rPr>
                <w:rFonts w:hint="eastAsia" w:ascii="宋体" w:hAnsi="宋体" w:eastAsia="宋体" w:cs="宋体"/>
                <w:color w:val="333333"/>
                <w:sz w:val="15"/>
                <w:szCs w:val="15"/>
              </w:rPr>
              <w:t>阶段性学业成果</w:t>
            </w:r>
          </w:p>
        </w:tc>
        <w:tc>
          <w:tcPr>
            <w:tcW w:w="825" w:type="dxa"/>
            <w:vAlign w:val="center"/>
          </w:tcPr>
          <w:p w14:paraId="6AE3FC2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52"/>
                <w:szCs w:val="52"/>
              </w:rPr>
            </w:pPr>
            <w:r>
              <w:rPr>
                <w:rFonts w:hint="eastAsia" w:ascii="宋体" w:hAnsi="宋体" w:eastAsia="宋体" w:cs="宋体"/>
                <w:color w:val="333333"/>
                <w:sz w:val="15"/>
                <w:szCs w:val="15"/>
              </w:rPr>
              <w:t>备注</w:t>
            </w:r>
          </w:p>
        </w:tc>
      </w:tr>
      <w:tr w14:paraId="53610A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87" w:type="dxa"/>
            <w:vMerge w:val="restart"/>
            <w:tcBorders>
              <w:bottom w:val="nil"/>
            </w:tcBorders>
            <w:vAlign w:val="center"/>
          </w:tcPr>
          <w:p w14:paraId="0A88D5E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学习项目1：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LAMP 服务器部署</w:t>
            </w:r>
          </w:p>
        </w:tc>
        <w:tc>
          <w:tcPr>
            <w:tcW w:w="929" w:type="dxa"/>
            <w:vMerge w:val="restart"/>
            <w:tcBorders>
              <w:bottom w:val="nil"/>
            </w:tcBorders>
            <w:vAlign w:val="center"/>
          </w:tcPr>
          <w:p w14:paraId="2C88233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24</w:t>
            </w:r>
          </w:p>
        </w:tc>
        <w:tc>
          <w:tcPr>
            <w:tcW w:w="796" w:type="dxa"/>
            <w:vMerge w:val="restart"/>
            <w:vAlign w:val="center"/>
          </w:tcPr>
          <w:p w14:paraId="44A74CB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第1周</w:t>
            </w:r>
          </w:p>
        </w:tc>
        <w:tc>
          <w:tcPr>
            <w:tcW w:w="1514" w:type="dxa"/>
            <w:vAlign w:val="center"/>
          </w:tcPr>
          <w:p w14:paraId="5AEC0C5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任务一 获取需求</w:t>
            </w:r>
          </w:p>
        </w:tc>
        <w:tc>
          <w:tcPr>
            <w:tcW w:w="1244" w:type="dxa"/>
            <w:vAlign w:val="center"/>
          </w:tcPr>
          <w:p w14:paraId="688157B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3212D1C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1. 分析WordPress网站搭建需求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补充练习：对比阿里云、腾讯云等不同云厂商服务(IaaS/PaaS/SaaS)特性</w:t>
            </w:r>
          </w:p>
        </w:tc>
        <w:tc>
          <w:tcPr>
            <w:tcW w:w="1604" w:type="dxa"/>
            <w:vAlign w:val="center"/>
          </w:tcPr>
          <w:p w14:paraId="36D5A0C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需求分析表</w:t>
            </w:r>
          </w:p>
        </w:tc>
        <w:tc>
          <w:tcPr>
            <w:tcW w:w="825" w:type="dxa"/>
            <w:vAlign w:val="center"/>
          </w:tcPr>
          <w:p w14:paraId="1940D6B0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234F5F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center"/>
          </w:tcPr>
          <w:p w14:paraId="7512E7AB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tcBorders>
              <w:top w:val="nil"/>
              <w:bottom w:val="nil"/>
            </w:tcBorders>
            <w:vAlign w:val="center"/>
          </w:tcPr>
          <w:p w14:paraId="3C74223F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0C607B91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1514" w:type="dxa"/>
            <w:vAlign w:val="center"/>
          </w:tcPr>
          <w:p w14:paraId="09A414A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任务二 收集信息</w:t>
            </w:r>
          </w:p>
        </w:tc>
        <w:tc>
          <w:tcPr>
            <w:tcW w:w="1244" w:type="dxa"/>
            <w:vAlign w:val="center"/>
          </w:tcPr>
          <w:p w14:paraId="3E13D36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59B722C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收集并整理企业建站信息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D35400"/>
                <w:sz w:val="15"/>
                <w:szCs w:val="15"/>
              </w:rPr>
              <w:t>完成：撰写“中小企业云服务选型调研”PPT汇报</w:t>
            </w:r>
            <w:bookmarkStart w:id="0" w:name="_GoBack"/>
            <w:bookmarkEnd w:id="0"/>
          </w:p>
        </w:tc>
        <w:tc>
          <w:tcPr>
            <w:tcW w:w="1604" w:type="dxa"/>
            <w:vAlign w:val="center"/>
          </w:tcPr>
          <w:p w14:paraId="739F71D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需求收集记录单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调研PPT</w:t>
            </w:r>
          </w:p>
        </w:tc>
        <w:tc>
          <w:tcPr>
            <w:tcW w:w="825" w:type="dxa"/>
            <w:vAlign w:val="center"/>
          </w:tcPr>
          <w:p w14:paraId="37DA810F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728C71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center"/>
          </w:tcPr>
          <w:p w14:paraId="1C2827E1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tcBorders>
              <w:top w:val="nil"/>
              <w:bottom w:val="nil"/>
            </w:tcBorders>
            <w:vAlign w:val="center"/>
          </w:tcPr>
          <w:p w14:paraId="380D4ADE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restart"/>
            <w:vAlign w:val="center"/>
          </w:tcPr>
          <w:p w14:paraId="41FC0CC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第2周</w:t>
            </w:r>
          </w:p>
        </w:tc>
        <w:tc>
          <w:tcPr>
            <w:tcW w:w="1514" w:type="dxa"/>
            <w:vAlign w:val="center"/>
          </w:tcPr>
          <w:p w14:paraId="2884EC7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任务三 制订计划</w:t>
            </w:r>
          </w:p>
        </w:tc>
        <w:tc>
          <w:tcPr>
            <w:tcW w:w="1244" w:type="dxa"/>
            <w:vAlign w:val="center"/>
          </w:tcPr>
          <w:p w14:paraId="1D21B32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331FA84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制订LAMP架构部署详细计划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横向任务：使用Draw.io绘制LAMP物理与逻辑网络拓扑图</w:t>
            </w:r>
          </w:p>
        </w:tc>
        <w:tc>
          <w:tcPr>
            <w:tcW w:w="1604" w:type="dxa"/>
            <w:vAlign w:val="center"/>
          </w:tcPr>
          <w:p w14:paraId="5AE1FA0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项目部署计划书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网络拓扑图</w:t>
            </w:r>
          </w:p>
        </w:tc>
        <w:tc>
          <w:tcPr>
            <w:tcW w:w="825" w:type="dxa"/>
            <w:vAlign w:val="center"/>
          </w:tcPr>
          <w:p w14:paraId="6CF52269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2384B6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387" w:type="dxa"/>
            <w:vMerge w:val="continue"/>
            <w:tcBorders>
              <w:top w:val="nil"/>
            </w:tcBorders>
            <w:vAlign w:val="center"/>
          </w:tcPr>
          <w:p w14:paraId="3B960BE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tcBorders>
              <w:top w:val="nil"/>
            </w:tcBorders>
            <w:vAlign w:val="center"/>
          </w:tcPr>
          <w:p w14:paraId="0E2FB3BC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378254AC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1514" w:type="dxa"/>
            <w:vAlign w:val="center"/>
          </w:tcPr>
          <w:p w14:paraId="7B0343F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7662D97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3E5E849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子任务一/二：安装VMware及CentOS操作系统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横向练习：Ubuntu Server系统安装对比及基础系统命令(ip, df, top)补充练习</w:t>
            </w:r>
          </w:p>
        </w:tc>
        <w:tc>
          <w:tcPr>
            <w:tcW w:w="1604" w:type="dxa"/>
            <w:vAlign w:val="center"/>
          </w:tcPr>
          <w:p w14:paraId="3494C22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系统环境截图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操作命令习题集</w:t>
            </w:r>
          </w:p>
        </w:tc>
        <w:tc>
          <w:tcPr>
            <w:tcW w:w="825" w:type="dxa"/>
            <w:vAlign w:val="center"/>
          </w:tcPr>
          <w:p w14:paraId="00614C0A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6F3A6D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  <w:jc w:val="center"/>
        </w:trPr>
        <w:tc>
          <w:tcPr>
            <w:tcW w:w="1387" w:type="dxa"/>
            <w:vMerge w:val="continue"/>
            <w:tcBorders>
              <w:bottom w:val="nil"/>
            </w:tcBorders>
            <w:vAlign w:val="center"/>
          </w:tcPr>
          <w:p w14:paraId="148E1751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025E6B47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restart"/>
            <w:vAlign w:val="center"/>
          </w:tcPr>
          <w:p w14:paraId="1108895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第3周</w:t>
            </w:r>
          </w:p>
        </w:tc>
        <w:tc>
          <w:tcPr>
            <w:tcW w:w="1514" w:type="dxa"/>
            <w:vAlign w:val="center"/>
          </w:tcPr>
          <w:p w14:paraId="791D536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7C6C175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4BD7E6D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子任务三：更新及配置本地/网络 YUM 源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补充习题：配置第三方EPEL源及rpm/yum高级软件包管理命令练习</w:t>
            </w:r>
          </w:p>
        </w:tc>
        <w:tc>
          <w:tcPr>
            <w:tcW w:w="1604" w:type="dxa"/>
            <w:vAlign w:val="center"/>
          </w:tcPr>
          <w:p w14:paraId="5C76496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YUM配置截图</w:t>
            </w:r>
          </w:p>
        </w:tc>
        <w:tc>
          <w:tcPr>
            <w:tcW w:w="825" w:type="dxa"/>
            <w:vAlign w:val="center"/>
          </w:tcPr>
          <w:p w14:paraId="4B32AF11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04C579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center"/>
          </w:tcPr>
          <w:p w14:paraId="49BC484C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1EB6651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6FD6DECA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1514" w:type="dxa"/>
            <w:vAlign w:val="center"/>
          </w:tcPr>
          <w:p w14:paraId="5216225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4351988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301F38D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子任务四/五：部署 Apache 提供WWW服务，部署 MySQL 数据库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横向练习：Apache多虚拟主机(VirtualHost)配置、MySQL多用户权限分配练习</w:t>
            </w:r>
          </w:p>
        </w:tc>
        <w:tc>
          <w:tcPr>
            <w:tcW w:w="1604" w:type="dxa"/>
            <w:vAlign w:val="center"/>
          </w:tcPr>
          <w:p w14:paraId="7700BEC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Web与DB截图</w:t>
            </w:r>
          </w:p>
        </w:tc>
        <w:tc>
          <w:tcPr>
            <w:tcW w:w="825" w:type="dxa"/>
            <w:vAlign w:val="center"/>
          </w:tcPr>
          <w:p w14:paraId="24E63A06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50C7DC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  <w:jc w:val="center"/>
        </w:trPr>
        <w:tc>
          <w:tcPr>
            <w:tcW w:w="1387" w:type="dxa"/>
            <w:vMerge w:val="continue"/>
            <w:tcBorders>
              <w:top w:val="nil"/>
              <w:bottom w:val="nil"/>
            </w:tcBorders>
            <w:vAlign w:val="center"/>
          </w:tcPr>
          <w:p w14:paraId="6BD4B47B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07893503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restart"/>
            <w:vAlign w:val="center"/>
          </w:tcPr>
          <w:p w14:paraId="171FEE3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第4周</w:t>
            </w:r>
          </w:p>
        </w:tc>
        <w:tc>
          <w:tcPr>
            <w:tcW w:w="1514" w:type="dxa"/>
            <w:vAlign w:val="center"/>
          </w:tcPr>
          <w:p w14:paraId="5036E88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562FF93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1C45E45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子任务六：部署 PHP 服务器提供脚本语言环境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横向练习：除了WordPress外，增加部署Discuz!或ThinkPHP框架的连通性测试</w:t>
            </w:r>
          </w:p>
        </w:tc>
        <w:tc>
          <w:tcPr>
            <w:tcW w:w="1604" w:type="dxa"/>
            <w:vAlign w:val="center"/>
          </w:tcPr>
          <w:p w14:paraId="6143288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多框架测试截图</w:t>
            </w:r>
          </w:p>
        </w:tc>
        <w:tc>
          <w:tcPr>
            <w:tcW w:w="825" w:type="dxa"/>
            <w:vAlign w:val="center"/>
          </w:tcPr>
          <w:p w14:paraId="1765736B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513164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  <w:jc w:val="center"/>
        </w:trPr>
        <w:tc>
          <w:tcPr>
            <w:tcW w:w="1387" w:type="dxa"/>
            <w:vMerge w:val="continue"/>
            <w:tcBorders>
              <w:top w:val="nil"/>
            </w:tcBorders>
            <w:vAlign w:val="center"/>
          </w:tcPr>
          <w:p w14:paraId="3CD92682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522994F0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476A02C9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1514" w:type="dxa"/>
            <w:vAlign w:val="center"/>
          </w:tcPr>
          <w:p w14:paraId="6D8492C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任务四/五 检查测试</w:t>
            </w:r>
          </w:p>
        </w:tc>
        <w:tc>
          <w:tcPr>
            <w:tcW w:w="1244" w:type="dxa"/>
            <w:vAlign w:val="center"/>
          </w:tcPr>
          <w:p w14:paraId="3B5AE44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3D125C1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子任务七：部署 NTP 提供时间服务及WordPress综合测试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D35400"/>
                <w:sz w:val="15"/>
                <w:szCs w:val="15"/>
              </w:rPr>
              <w:t>完成：制作“LAMP企业架构部署与优化”技术汇报PPT并进行小组答辩</w:t>
            </w:r>
          </w:p>
        </w:tc>
        <w:tc>
          <w:tcPr>
            <w:tcW w:w="1604" w:type="dxa"/>
            <w:vAlign w:val="center"/>
          </w:tcPr>
          <w:p w14:paraId="4B2CF8D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项目答辩PPT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互评评分表</w:t>
            </w:r>
          </w:p>
        </w:tc>
        <w:tc>
          <w:tcPr>
            <w:tcW w:w="825" w:type="dxa"/>
            <w:vAlign w:val="center"/>
          </w:tcPr>
          <w:p w14:paraId="1C7FCEDD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70B897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restart"/>
            <w:vAlign w:val="center"/>
          </w:tcPr>
          <w:p w14:paraId="0B9FE4C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学习项目2：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虚拟化平台服务器部署</w:t>
            </w:r>
          </w:p>
        </w:tc>
        <w:tc>
          <w:tcPr>
            <w:tcW w:w="929" w:type="dxa"/>
            <w:vMerge w:val="restart"/>
            <w:vAlign w:val="center"/>
          </w:tcPr>
          <w:p w14:paraId="4885CE9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20</w:t>
            </w:r>
          </w:p>
        </w:tc>
        <w:tc>
          <w:tcPr>
            <w:tcW w:w="796" w:type="dxa"/>
            <w:vMerge w:val="restart"/>
            <w:vAlign w:val="center"/>
          </w:tcPr>
          <w:p w14:paraId="0089F37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第5周</w:t>
            </w:r>
          </w:p>
        </w:tc>
        <w:tc>
          <w:tcPr>
            <w:tcW w:w="1514" w:type="dxa"/>
            <w:vAlign w:val="center"/>
          </w:tcPr>
          <w:p w14:paraId="6C4F5ED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任务一 获取需求</w:t>
            </w:r>
          </w:p>
        </w:tc>
        <w:tc>
          <w:tcPr>
            <w:tcW w:w="1244" w:type="dxa"/>
            <w:vAlign w:val="center"/>
          </w:tcPr>
          <w:p w14:paraId="7FD474C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2B669C4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了解虚拟化技术分类及目的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D35400"/>
                <w:sz w:val="15"/>
                <w:szCs w:val="15"/>
              </w:rPr>
              <w:t>完成：主流虚拟化技术(VMware vs KVM vs Hyper-V)对比分析PPT制作</w:t>
            </w:r>
          </w:p>
        </w:tc>
        <w:tc>
          <w:tcPr>
            <w:tcW w:w="1604" w:type="dxa"/>
            <w:vAlign w:val="center"/>
          </w:tcPr>
          <w:p w14:paraId="616F986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对比分析PPT</w:t>
            </w:r>
          </w:p>
        </w:tc>
        <w:tc>
          <w:tcPr>
            <w:tcW w:w="825" w:type="dxa"/>
            <w:vAlign w:val="center"/>
          </w:tcPr>
          <w:p w14:paraId="591E2C05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2F1EBB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6CEC9B07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7AC5D44B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09C3DA56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1514" w:type="dxa"/>
            <w:vAlign w:val="center"/>
          </w:tcPr>
          <w:p w14:paraId="5F5D19F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C0392B"/>
                <w:sz w:val="15"/>
                <w:szCs w:val="15"/>
              </w:rPr>
              <w:t>机动安排</w:t>
            </w:r>
          </w:p>
        </w:tc>
        <w:tc>
          <w:tcPr>
            <w:tcW w:w="1244" w:type="dxa"/>
            <w:vAlign w:val="center"/>
          </w:tcPr>
          <w:p w14:paraId="6E7BB83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C0392B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544C2BC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C0392B"/>
                <w:sz w:val="15"/>
                <w:szCs w:val="15"/>
              </w:rPr>
              <w:t>清明节放假，课程内容机动跳过</w:t>
            </w:r>
          </w:p>
        </w:tc>
        <w:tc>
          <w:tcPr>
            <w:tcW w:w="1604" w:type="dxa"/>
            <w:vAlign w:val="center"/>
          </w:tcPr>
          <w:p w14:paraId="6067FCE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C0392B"/>
                <w:sz w:val="15"/>
                <w:szCs w:val="15"/>
              </w:rPr>
              <w:t>--</w:t>
            </w:r>
          </w:p>
        </w:tc>
        <w:tc>
          <w:tcPr>
            <w:tcW w:w="825" w:type="dxa"/>
            <w:vAlign w:val="center"/>
          </w:tcPr>
          <w:p w14:paraId="25FCB8E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C0392B"/>
                <w:sz w:val="15"/>
                <w:szCs w:val="15"/>
              </w:rPr>
              <w:t>法定假日</w:t>
            </w:r>
          </w:p>
        </w:tc>
      </w:tr>
      <w:tr w14:paraId="726C23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45012C3D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7F5EDBC4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restart"/>
            <w:vAlign w:val="center"/>
          </w:tcPr>
          <w:p w14:paraId="3E7A524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第6周</w:t>
            </w:r>
          </w:p>
        </w:tc>
        <w:tc>
          <w:tcPr>
            <w:tcW w:w="1514" w:type="dxa"/>
            <w:tcBorders/>
            <w:vAlign w:val="center"/>
          </w:tcPr>
          <w:p w14:paraId="17BC39F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任务二 收集信息</w:t>
            </w:r>
          </w:p>
        </w:tc>
        <w:tc>
          <w:tcPr>
            <w:tcW w:w="1244" w:type="dxa"/>
            <w:vAlign w:val="center"/>
          </w:tcPr>
          <w:p w14:paraId="0B55D28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25AF27B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熟悉主流虚拟机管理工具(KVM/Libvirt等)与服务器信息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补充习题：查阅Libvirt官方英文文档并提取关键管理组件原理</w:t>
            </w:r>
          </w:p>
        </w:tc>
        <w:tc>
          <w:tcPr>
            <w:tcW w:w="1604" w:type="dxa"/>
            <w:vAlign w:val="center"/>
          </w:tcPr>
          <w:p w14:paraId="23D47EB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文档阅读笔记</w:t>
            </w:r>
          </w:p>
        </w:tc>
        <w:tc>
          <w:tcPr>
            <w:tcW w:w="825" w:type="dxa"/>
            <w:vAlign w:val="center"/>
          </w:tcPr>
          <w:p w14:paraId="0F436824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256EF2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4F4D117E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6BE63B7A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256B755C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1514" w:type="dxa"/>
            <w:vAlign w:val="center"/>
          </w:tcPr>
          <w:p w14:paraId="052DC2F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任务三 制订计划</w:t>
            </w:r>
          </w:p>
        </w:tc>
        <w:tc>
          <w:tcPr>
            <w:tcW w:w="1244" w:type="dxa"/>
            <w:vAlign w:val="center"/>
          </w:tcPr>
          <w:p w14:paraId="1853115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5699923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制订IDC机房虚拟化私有云升级计划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横向任务：绘制物理机到虚拟机(P2V)的CPU、内存、存储资源分配规划图</w:t>
            </w:r>
          </w:p>
        </w:tc>
        <w:tc>
          <w:tcPr>
            <w:tcW w:w="1604" w:type="dxa"/>
            <w:vAlign w:val="center"/>
          </w:tcPr>
          <w:p w14:paraId="3127BF8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升级规划书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资源规划图</w:t>
            </w:r>
          </w:p>
        </w:tc>
        <w:tc>
          <w:tcPr>
            <w:tcW w:w="825" w:type="dxa"/>
            <w:vAlign w:val="center"/>
          </w:tcPr>
          <w:p w14:paraId="1E8748E0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3C480D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69F4E87F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14A20A9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restart"/>
            <w:vAlign w:val="center"/>
          </w:tcPr>
          <w:p w14:paraId="57EE3CA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第7周</w:t>
            </w:r>
          </w:p>
        </w:tc>
        <w:tc>
          <w:tcPr>
            <w:tcW w:w="1514" w:type="dxa"/>
            <w:vAlign w:val="center"/>
          </w:tcPr>
          <w:p w14:paraId="74052E9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0E78876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3EEE437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子任务一：KVM 虚拟化管理平台部署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横向练习：分别使用命令行(virt-install)与图形界面(virt-manager)两种方式部署虚拟机</w:t>
            </w:r>
          </w:p>
        </w:tc>
        <w:tc>
          <w:tcPr>
            <w:tcW w:w="1604" w:type="dxa"/>
            <w:vAlign w:val="center"/>
          </w:tcPr>
          <w:p w14:paraId="077FD37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部署实操记录</w:t>
            </w:r>
          </w:p>
        </w:tc>
        <w:tc>
          <w:tcPr>
            <w:tcW w:w="825" w:type="dxa"/>
            <w:vAlign w:val="center"/>
          </w:tcPr>
          <w:p w14:paraId="7453CC24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722352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66CB149F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3144A5F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750B01A5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1514" w:type="dxa"/>
            <w:vAlign w:val="center"/>
          </w:tcPr>
          <w:p w14:paraId="7449057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5C6CB30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6E6B01E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子任务二：基于KVM的虚拟机安装与克隆操作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横向练习：KVM差异磁盘快照(qcow2)管理、热迁移(Live Migration)原理认知与演练</w:t>
            </w:r>
          </w:p>
        </w:tc>
        <w:tc>
          <w:tcPr>
            <w:tcW w:w="1604" w:type="dxa"/>
            <w:vAlign w:val="center"/>
          </w:tcPr>
          <w:p w14:paraId="05CB415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快照/迁移截图</w:t>
            </w:r>
          </w:p>
        </w:tc>
        <w:tc>
          <w:tcPr>
            <w:tcW w:w="825" w:type="dxa"/>
            <w:vAlign w:val="center"/>
          </w:tcPr>
          <w:p w14:paraId="294792B4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744828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3A728E32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5D400AC0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restart"/>
            <w:vAlign w:val="center"/>
          </w:tcPr>
          <w:p w14:paraId="3060DEC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第8周</w:t>
            </w:r>
          </w:p>
        </w:tc>
        <w:tc>
          <w:tcPr>
            <w:tcW w:w="1514" w:type="dxa"/>
            <w:vAlign w:val="center"/>
          </w:tcPr>
          <w:p w14:paraId="57D7E86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任务五 检查测试</w:t>
            </w:r>
          </w:p>
        </w:tc>
        <w:tc>
          <w:tcPr>
            <w:tcW w:w="1244" w:type="dxa"/>
            <w:vAlign w:val="center"/>
          </w:tcPr>
          <w:p w14:paraId="55F30C3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5AFC9E8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虚拟化平台基础网络连通性测试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补充习题：Linux网络命名空间(netns)与网桥(Bridge/NAT)进阶配置习题</w:t>
            </w:r>
          </w:p>
        </w:tc>
        <w:tc>
          <w:tcPr>
            <w:tcW w:w="1604" w:type="dxa"/>
            <w:vAlign w:val="center"/>
          </w:tcPr>
          <w:p w14:paraId="1B3862D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网络配置习题集</w:t>
            </w:r>
          </w:p>
        </w:tc>
        <w:tc>
          <w:tcPr>
            <w:tcW w:w="825" w:type="dxa"/>
            <w:vAlign w:val="center"/>
          </w:tcPr>
          <w:p w14:paraId="1B74A76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5429AA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60859C4E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2AE6B15D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3B6743F7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1514" w:type="dxa"/>
            <w:vAlign w:val="center"/>
          </w:tcPr>
          <w:p w14:paraId="7F552C6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任务五 检查测试</w:t>
            </w:r>
          </w:p>
        </w:tc>
        <w:tc>
          <w:tcPr>
            <w:tcW w:w="1244" w:type="dxa"/>
            <w:vAlign w:val="center"/>
          </w:tcPr>
          <w:p w14:paraId="44633CE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31DEB32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虚拟机性能与资源分配情况综合检查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D35400"/>
                <w:sz w:val="15"/>
                <w:szCs w:val="15"/>
              </w:rPr>
              <w:t>完成：撰写“企业KVM虚拟化平台性能调优报告”并进行阶段性业务汇报</w:t>
            </w:r>
          </w:p>
        </w:tc>
        <w:tc>
          <w:tcPr>
            <w:tcW w:w="1604" w:type="dxa"/>
            <w:vAlign w:val="center"/>
          </w:tcPr>
          <w:p w14:paraId="3A068FC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性能调优报告</w:t>
            </w:r>
          </w:p>
        </w:tc>
        <w:tc>
          <w:tcPr>
            <w:tcW w:w="825" w:type="dxa"/>
            <w:vAlign w:val="center"/>
          </w:tcPr>
          <w:p w14:paraId="75274612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1FE32C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restart"/>
            <w:vAlign w:val="center"/>
          </w:tcPr>
          <w:p w14:paraId="24A35D1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学习项目3：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容器化服务器部署</w:t>
            </w:r>
          </w:p>
        </w:tc>
        <w:tc>
          <w:tcPr>
            <w:tcW w:w="929" w:type="dxa"/>
            <w:vMerge w:val="restart"/>
            <w:vAlign w:val="center"/>
          </w:tcPr>
          <w:p w14:paraId="1306CB5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20</w:t>
            </w:r>
          </w:p>
        </w:tc>
        <w:tc>
          <w:tcPr>
            <w:tcW w:w="796" w:type="dxa"/>
            <w:vMerge w:val="restart"/>
            <w:vAlign w:val="center"/>
          </w:tcPr>
          <w:p w14:paraId="0893FE7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第9周</w:t>
            </w:r>
          </w:p>
        </w:tc>
        <w:tc>
          <w:tcPr>
            <w:tcW w:w="1514" w:type="dxa"/>
            <w:vAlign w:val="center"/>
          </w:tcPr>
          <w:p w14:paraId="0C46A05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任务一 获取需求</w:t>
            </w:r>
          </w:p>
        </w:tc>
        <w:tc>
          <w:tcPr>
            <w:tcW w:w="1244" w:type="dxa"/>
            <w:vAlign w:val="center"/>
          </w:tcPr>
          <w:p w14:paraId="2B93118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090BF3F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了解Docker概念、架构及改造需求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补充习题：Docker容器与传统虚拟机资源隔离(Namespace/Cgroups)底层原理分析练习</w:t>
            </w:r>
          </w:p>
        </w:tc>
        <w:tc>
          <w:tcPr>
            <w:tcW w:w="1604" w:type="dxa"/>
            <w:vAlign w:val="center"/>
          </w:tcPr>
          <w:p w14:paraId="746F3DC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原理解析作业</w:t>
            </w:r>
          </w:p>
        </w:tc>
        <w:tc>
          <w:tcPr>
            <w:tcW w:w="825" w:type="dxa"/>
            <w:vAlign w:val="center"/>
          </w:tcPr>
          <w:p w14:paraId="5FCC9A3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684161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345814A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736550DC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7E2E6F66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1514" w:type="dxa"/>
            <w:vAlign w:val="center"/>
          </w:tcPr>
          <w:p w14:paraId="63FAF88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C0392B"/>
                <w:sz w:val="15"/>
                <w:szCs w:val="15"/>
              </w:rPr>
              <w:t>机动安排</w:t>
            </w:r>
          </w:p>
        </w:tc>
        <w:tc>
          <w:tcPr>
            <w:tcW w:w="1244" w:type="dxa"/>
            <w:vAlign w:val="center"/>
          </w:tcPr>
          <w:p w14:paraId="00AF2A1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C0392B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0148D85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C0392B"/>
                <w:sz w:val="15"/>
                <w:szCs w:val="15"/>
              </w:rPr>
              <w:t>劳动节放假，课程内容机动跳过</w:t>
            </w:r>
          </w:p>
        </w:tc>
        <w:tc>
          <w:tcPr>
            <w:tcW w:w="1604" w:type="dxa"/>
            <w:vAlign w:val="center"/>
          </w:tcPr>
          <w:p w14:paraId="6ECF151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C0392B"/>
                <w:sz w:val="15"/>
                <w:szCs w:val="15"/>
              </w:rPr>
              <w:t>--</w:t>
            </w:r>
          </w:p>
        </w:tc>
        <w:tc>
          <w:tcPr>
            <w:tcW w:w="825" w:type="dxa"/>
            <w:vAlign w:val="center"/>
          </w:tcPr>
          <w:p w14:paraId="6360A0E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C0392B"/>
                <w:sz w:val="15"/>
                <w:szCs w:val="15"/>
              </w:rPr>
              <w:t>法定假日</w:t>
            </w:r>
          </w:p>
        </w:tc>
      </w:tr>
      <w:tr w14:paraId="23EBBF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restart"/>
            <w:vAlign w:val="center"/>
          </w:tcPr>
          <w:p w14:paraId="43509F8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期中教学测验</w:t>
            </w:r>
          </w:p>
        </w:tc>
        <w:tc>
          <w:tcPr>
            <w:tcW w:w="929" w:type="dxa"/>
            <w:vMerge w:val="restart"/>
            <w:vAlign w:val="center"/>
          </w:tcPr>
          <w:p w14:paraId="570CD7E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6</w:t>
            </w:r>
          </w:p>
        </w:tc>
        <w:tc>
          <w:tcPr>
            <w:tcW w:w="796" w:type="dxa"/>
            <w:vMerge w:val="restart"/>
            <w:vAlign w:val="center"/>
          </w:tcPr>
          <w:p w14:paraId="308BE98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第10周</w:t>
            </w:r>
          </w:p>
        </w:tc>
        <w:tc>
          <w:tcPr>
            <w:tcW w:w="1514" w:type="dxa"/>
            <w:vAlign w:val="center"/>
          </w:tcPr>
          <w:p w14:paraId="0478CDB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期中理论测验</w:t>
            </w:r>
          </w:p>
        </w:tc>
        <w:tc>
          <w:tcPr>
            <w:tcW w:w="1244" w:type="dxa"/>
            <w:vAlign w:val="center"/>
          </w:tcPr>
          <w:p w14:paraId="404D677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3918772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针对学习项目1(LAMP)与项目2(虚拟化)进行阶段性理论测验</w:t>
            </w:r>
          </w:p>
        </w:tc>
        <w:tc>
          <w:tcPr>
            <w:tcW w:w="1604" w:type="dxa"/>
            <w:vAlign w:val="center"/>
          </w:tcPr>
          <w:p w14:paraId="24E17D6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理论试卷</w:t>
            </w:r>
          </w:p>
        </w:tc>
        <w:tc>
          <w:tcPr>
            <w:tcW w:w="825" w:type="dxa"/>
            <w:vAlign w:val="center"/>
          </w:tcPr>
          <w:p w14:paraId="5034F1F2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439AD8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7800C4B7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4576A401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062BAFB3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1514" w:type="dxa"/>
            <w:vAlign w:val="center"/>
          </w:tcPr>
          <w:p w14:paraId="785137D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期中实操测验</w:t>
            </w:r>
          </w:p>
        </w:tc>
        <w:tc>
          <w:tcPr>
            <w:tcW w:w="1244" w:type="dxa"/>
            <w:vAlign w:val="center"/>
          </w:tcPr>
          <w:p w14:paraId="427B0B8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192FFC1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服务器基础环境搭建与虚拟化故障排除综合实操考核</w:t>
            </w:r>
          </w:p>
        </w:tc>
        <w:tc>
          <w:tcPr>
            <w:tcW w:w="1604" w:type="dxa"/>
            <w:vAlign w:val="center"/>
          </w:tcPr>
          <w:p w14:paraId="72945BE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实操考评单</w:t>
            </w:r>
          </w:p>
        </w:tc>
        <w:tc>
          <w:tcPr>
            <w:tcW w:w="825" w:type="dxa"/>
            <w:vAlign w:val="center"/>
          </w:tcPr>
          <w:p w14:paraId="5C312B64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58C6FD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restart"/>
            <w:vAlign w:val="center"/>
          </w:tcPr>
          <w:p w14:paraId="6BE449D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学习项目3(续)：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容器化服务器部署</w:t>
            </w:r>
          </w:p>
        </w:tc>
        <w:tc>
          <w:tcPr>
            <w:tcW w:w="929" w:type="dxa"/>
            <w:vMerge w:val="restart"/>
            <w:vAlign w:val="center"/>
          </w:tcPr>
          <w:p w14:paraId="50CE736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(承上)</w:t>
            </w:r>
          </w:p>
        </w:tc>
        <w:tc>
          <w:tcPr>
            <w:tcW w:w="796" w:type="dxa"/>
            <w:vMerge w:val="restart"/>
            <w:vAlign w:val="center"/>
          </w:tcPr>
          <w:p w14:paraId="5640983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第11周</w:t>
            </w:r>
          </w:p>
        </w:tc>
        <w:tc>
          <w:tcPr>
            <w:tcW w:w="1514" w:type="dxa"/>
            <w:vAlign w:val="center"/>
          </w:tcPr>
          <w:p w14:paraId="5618D1E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任务二 收集信息</w:t>
            </w:r>
          </w:p>
        </w:tc>
        <w:tc>
          <w:tcPr>
            <w:tcW w:w="1244" w:type="dxa"/>
            <w:vAlign w:val="center"/>
          </w:tcPr>
          <w:p w14:paraId="55E3603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035219C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获取大数据平台容器化改造需求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横向练习：Docker Hub公共仓库与国内私有Registry搭建、阿里云镜像加速器配置对比</w:t>
            </w:r>
          </w:p>
        </w:tc>
        <w:tc>
          <w:tcPr>
            <w:tcW w:w="1604" w:type="dxa"/>
            <w:vAlign w:val="center"/>
          </w:tcPr>
          <w:p w14:paraId="3763688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改造信息表</w:t>
            </w:r>
          </w:p>
        </w:tc>
        <w:tc>
          <w:tcPr>
            <w:tcW w:w="825" w:type="dxa"/>
            <w:vAlign w:val="center"/>
          </w:tcPr>
          <w:p w14:paraId="2B7CC184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6E6360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70A59E21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7D825252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6B28A98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1514" w:type="dxa"/>
            <w:vAlign w:val="center"/>
          </w:tcPr>
          <w:p w14:paraId="75946E6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任务三 制订计划</w:t>
            </w:r>
          </w:p>
        </w:tc>
        <w:tc>
          <w:tcPr>
            <w:tcW w:w="1244" w:type="dxa"/>
            <w:vAlign w:val="center"/>
          </w:tcPr>
          <w:p w14:paraId="6E1BE60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6BBBD9E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制订容器化实施计划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补充任务：绘制企业级微服务架构与Docker容器分布关系图</w:t>
            </w:r>
          </w:p>
        </w:tc>
        <w:tc>
          <w:tcPr>
            <w:tcW w:w="1604" w:type="dxa"/>
            <w:vAlign w:val="center"/>
          </w:tcPr>
          <w:p w14:paraId="6E091C7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微服务架构图</w:t>
            </w:r>
          </w:p>
        </w:tc>
        <w:tc>
          <w:tcPr>
            <w:tcW w:w="825" w:type="dxa"/>
            <w:vAlign w:val="center"/>
          </w:tcPr>
          <w:p w14:paraId="10A4854C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667571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1E0008CD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223F06C2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restart"/>
            <w:vAlign w:val="center"/>
          </w:tcPr>
          <w:p w14:paraId="30BB714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第12周</w:t>
            </w:r>
          </w:p>
        </w:tc>
        <w:tc>
          <w:tcPr>
            <w:tcW w:w="1514" w:type="dxa"/>
            <w:vAlign w:val="center"/>
          </w:tcPr>
          <w:p w14:paraId="0E1D45F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55D2D5D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6342ADE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容器化服务器资源规划与Docker引擎安装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补充习题：Docker存储卷(Volumes)持久化与三种网络模式(Bridge/Host/None)配置练习</w:t>
            </w:r>
          </w:p>
        </w:tc>
        <w:tc>
          <w:tcPr>
            <w:tcW w:w="1604" w:type="dxa"/>
            <w:vAlign w:val="center"/>
          </w:tcPr>
          <w:p w14:paraId="1C926E2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网络/存储练习单</w:t>
            </w:r>
          </w:p>
        </w:tc>
        <w:tc>
          <w:tcPr>
            <w:tcW w:w="825" w:type="dxa"/>
            <w:vAlign w:val="center"/>
          </w:tcPr>
          <w:p w14:paraId="1688FC8E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0322F6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7D9D25C5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2A383FE1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52B2F29A">
            <w:pPr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</w:p>
        </w:tc>
        <w:tc>
          <w:tcPr>
            <w:tcW w:w="1514" w:type="dxa"/>
            <w:vAlign w:val="center"/>
          </w:tcPr>
          <w:p w14:paraId="2FBF6BD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0D7270F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67EE772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镜像拉取与容器生命周期(Run/Stop/Rm/Exec)管理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横向练习：编写Dockerfile构建自定义Nginx/Tomcat业务镜像并推送到私有仓库</w:t>
            </w:r>
          </w:p>
        </w:tc>
        <w:tc>
          <w:tcPr>
            <w:tcW w:w="1604" w:type="dxa"/>
            <w:vAlign w:val="center"/>
          </w:tcPr>
          <w:p w14:paraId="5EFC3F8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Dockerfile源码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镜像推送截图</w:t>
            </w:r>
          </w:p>
        </w:tc>
        <w:tc>
          <w:tcPr>
            <w:tcW w:w="825" w:type="dxa"/>
            <w:vAlign w:val="center"/>
          </w:tcPr>
          <w:p w14:paraId="55D22597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21C569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724F6CA5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74825A14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restart"/>
            <w:vAlign w:val="center"/>
          </w:tcPr>
          <w:p w14:paraId="5618CA7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第13周</w:t>
            </w:r>
          </w:p>
        </w:tc>
        <w:tc>
          <w:tcPr>
            <w:tcW w:w="1514" w:type="dxa"/>
            <w:vAlign w:val="center"/>
          </w:tcPr>
          <w:p w14:paraId="2149354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256D888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7F966FB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基于容器的集群应用部署实战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横向高级练习：使用Docker-Compose进行多容器编排演练（如一键部署LNMP环境）</w:t>
            </w:r>
          </w:p>
        </w:tc>
        <w:tc>
          <w:tcPr>
            <w:tcW w:w="1604" w:type="dxa"/>
            <w:vAlign w:val="center"/>
          </w:tcPr>
          <w:p w14:paraId="0CB45F3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Compose配置文件</w:t>
            </w:r>
          </w:p>
        </w:tc>
        <w:tc>
          <w:tcPr>
            <w:tcW w:w="825" w:type="dxa"/>
            <w:vAlign w:val="center"/>
          </w:tcPr>
          <w:p w14:paraId="3595E42D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3E0002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213937EA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6CBAB066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345059DC">
            <w:pP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</w:p>
        </w:tc>
        <w:tc>
          <w:tcPr>
            <w:tcW w:w="1514" w:type="dxa"/>
            <w:vAlign w:val="center"/>
          </w:tcPr>
          <w:p w14:paraId="5BEB0D5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任务五 检查测试</w:t>
            </w:r>
          </w:p>
        </w:tc>
        <w:tc>
          <w:tcPr>
            <w:tcW w:w="1244" w:type="dxa"/>
            <w:vAlign w:val="center"/>
          </w:tcPr>
          <w:p w14:paraId="11D7BC9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3F7F95D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大数据平台容器集群整体连通性检查与测试评估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D35400"/>
                <w:sz w:val="15"/>
                <w:szCs w:val="15"/>
              </w:rPr>
              <w:t>完成：制作“校园大数据应用平台容器化改造项目结题”汇报PPT并进行项目路演</w:t>
            </w:r>
          </w:p>
        </w:tc>
        <w:tc>
          <w:tcPr>
            <w:tcW w:w="1604" w:type="dxa"/>
            <w:vAlign w:val="center"/>
          </w:tcPr>
          <w:p w14:paraId="7B1F162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项目路演PPT</w:t>
            </w:r>
          </w:p>
        </w:tc>
        <w:tc>
          <w:tcPr>
            <w:tcW w:w="825" w:type="dxa"/>
            <w:vAlign w:val="center"/>
          </w:tcPr>
          <w:p w14:paraId="2B8BCDE7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37ACA4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restart"/>
            <w:vAlign w:val="center"/>
          </w:tcPr>
          <w:p w14:paraId="29A5159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学习项目4：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公有云负载均衡服务器部署</w:t>
            </w:r>
          </w:p>
        </w:tc>
        <w:tc>
          <w:tcPr>
            <w:tcW w:w="929" w:type="dxa"/>
            <w:vMerge w:val="restart"/>
            <w:vAlign w:val="center"/>
          </w:tcPr>
          <w:p w14:paraId="34BF1BA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24</w:t>
            </w:r>
          </w:p>
        </w:tc>
        <w:tc>
          <w:tcPr>
            <w:tcW w:w="796" w:type="dxa"/>
            <w:vMerge w:val="restart"/>
            <w:vAlign w:val="center"/>
          </w:tcPr>
          <w:p w14:paraId="725B2DF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第14周</w:t>
            </w:r>
          </w:p>
        </w:tc>
        <w:tc>
          <w:tcPr>
            <w:tcW w:w="1514" w:type="dxa"/>
            <w:vAlign w:val="center"/>
          </w:tcPr>
          <w:p w14:paraId="04DAFF2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任务一 获取需求</w:t>
            </w:r>
          </w:p>
        </w:tc>
        <w:tc>
          <w:tcPr>
            <w:tcW w:w="1244" w:type="dxa"/>
            <w:vAlign w:val="center"/>
          </w:tcPr>
          <w:p w14:paraId="5C37F4C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08A3D2D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比较公有云、私有云、混合云区别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横向练习：AWS、Azure与华为云/阿里云得多云环境高可用架构横向对比分析</w:t>
            </w:r>
          </w:p>
        </w:tc>
        <w:tc>
          <w:tcPr>
            <w:tcW w:w="1604" w:type="dxa"/>
            <w:vAlign w:val="center"/>
          </w:tcPr>
          <w:p w14:paraId="15BB7E0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多云分析报告</w:t>
            </w:r>
          </w:p>
        </w:tc>
        <w:tc>
          <w:tcPr>
            <w:tcW w:w="825" w:type="dxa"/>
            <w:vAlign w:val="center"/>
          </w:tcPr>
          <w:p w14:paraId="3EEEED42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43AE79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09553D56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15A0BB8E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6B117796">
            <w:pP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</w:p>
        </w:tc>
        <w:tc>
          <w:tcPr>
            <w:tcW w:w="1514" w:type="dxa"/>
            <w:vAlign w:val="center"/>
          </w:tcPr>
          <w:p w14:paraId="32FEBB9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任务二 收集信息</w:t>
            </w:r>
          </w:p>
        </w:tc>
        <w:tc>
          <w:tcPr>
            <w:tcW w:w="1244" w:type="dxa"/>
            <w:vAlign w:val="center"/>
          </w:tcPr>
          <w:p w14:paraId="42EDBBC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087C65A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收集公有云常用服务(ECS/VPC/ELB/AS)产品信息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补充习题：结合不同云产品(包年包月/按量计费)进行企业IT成本优化与计费计算练习</w:t>
            </w:r>
          </w:p>
        </w:tc>
        <w:tc>
          <w:tcPr>
            <w:tcW w:w="1604" w:type="dxa"/>
            <w:vAlign w:val="center"/>
          </w:tcPr>
          <w:p w14:paraId="70D1DED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云端成本预算表</w:t>
            </w:r>
          </w:p>
        </w:tc>
        <w:tc>
          <w:tcPr>
            <w:tcW w:w="825" w:type="dxa"/>
            <w:vAlign w:val="center"/>
          </w:tcPr>
          <w:p w14:paraId="006B7B9E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343E66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67BE0C90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523863AD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restart"/>
            <w:vAlign w:val="center"/>
          </w:tcPr>
          <w:p w14:paraId="27385E1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第15周</w:t>
            </w:r>
          </w:p>
        </w:tc>
        <w:tc>
          <w:tcPr>
            <w:tcW w:w="1514" w:type="dxa"/>
            <w:vAlign w:val="center"/>
          </w:tcPr>
          <w:p w14:paraId="5DB92A3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任务三 制订计划</w:t>
            </w:r>
          </w:p>
        </w:tc>
        <w:tc>
          <w:tcPr>
            <w:tcW w:w="1244" w:type="dxa"/>
            <w:vAlign w:val="center"/>
          </w:tcPr>
          <w:p w14:paraId="692E5B6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1706B2C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制订公有云高可用服务器集群部署架构计划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横向任务：利用Visio/Draw.io绘制带有多可用区(Multi-AZ)容灾的高可用蓝图</w:t>
            </w:r>
          </w:p>
        </w:tc>
        <w:tc>
          <w:tcPr>
            <w:tcW w:w="1604" w:type="dxa"/>
            <w:vAlign w:val="center"/>
          </w:tcPr>
          <w:p w14:paraId="178D146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高可用云蓝图</w:t>
            </w:r>
          </w:p>
        </w:tc>
        <w:tc>
          <w:tcPr>
            <w:tcW w:w="825" w:type="dxa"/>
            <w:vAlign w:val="center"/>
          </w:tcPr>
          <w:p w14:paraId="7924966C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221EFD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73ABE60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1D9158F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4295D390">
            <w:pP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</w:p>
        </w:tc>
        <w:tc>
          <w:tcPr>
            <w:tcW w:w="1514" w:type="dxa"/>
            <w:vAlign w:val="center"/>
          </w:tcPr>
          <w:p w14:paraId="5443336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4CE925D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0558852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VPC配置与ECS基础环境部署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横向练习：VPC自定义路由表设置、安全组入站/出站规则防黑客精细化配置练习</w:t>
            </w:r>
          </w:p>
        </w:tc>
        <w:tc>
          <w:tcPr>
            <w:tcW w:w="1604" w:type="dxa"/>
            <w:vAlign w:val="center"/>
          </w:tcPr>
          <w:p w14:paraId="20C6E72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安全组规则清单</w:t>
            </w:r>
          </w:p>
        </w:tc>
        <w:tc>
          <w:tcPr>
            <w:tcW w:w="825" w:type="dxa"/>
            <w:vAlign w:val="center"/>
          </w:tcPr>
          <w:p w14:paraId="1775CD33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76282A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3AD3C2C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416D181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restart"/>
            <w:vAlign w:val="center"/>
          </w:tcPr>
          <w:p w14:paraId="59E3E7A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第16周</w:t>
            </w:r>
          </w:p>
        </w:tc>
        <w:tc>
          <w:tcPr>
            <w:tcW w:w="1514" w:type="dxa"/>
            <w:vAlign w:val="center"/>
          </w:tcPr>
          <w:p w14:paraId="00092E9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3C2ACA8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1E67521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部署 ELB 弹性负载均衡及监听器与后端组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横向练习：七层(HTTP/HTTPS)与四层(TCP/UDP)负载均衡会话保持策略配置对比练习</w:t>
            </w:r>
          </w:p>
        </w:tc>
        <w:tc>
          <w:tcPr>
            <w:tcW w:w="1604" w:type="dxa"/>
            <w:vAlign w:val="center"/>
          </w:tcPr>
          <w:p w14:paraId="65E2A8D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ELB策略对比表</w:t>
            </w:r>
          </w:p>
        </w:tc>
        <w:tc>
          <w:tcPr>
            <w:tcW w:w="825" w:type="dxa"/>
            <w:vAlign w:val="center"/>
          </w:tcPr>
          <w:p w14:paraId="5217E8F1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4B317C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6D1FEEDE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7E966DB0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44BA31C9">
            <w:pP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</w:p>
        </w:tc>
        <w:tc>
          <w:tcPr>
            <w:tcW w:w="1514" w:type="dxa"/>
            <w:vAlign w:val="center"/>
          </w:tcPr>
          <w:p w14:paraId="2E37A1E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任务四 实施项目</w:t>
            </w:r>
          </w:p>
        </w:tc>
        <w:tc>
          <w:tcPr>
            <w:tcW w:w="1244" w:type="dxa"/>
            <w:vAlign w:val="center"/>
          </w:tcPr>
          <w:p w14:paraId="10C4B4E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44D828F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部署 AS 弹性伸缩组与触发告警策略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补充习题：结合云监控进行AS伸缩组动态阈值（CPU&gt;80%扩容，CPU&lt;30%缩容）调优练习</w:t>
            </w:r>
          </w:p>
        </w:tc>
        <w:tc>
          <w:tcPr>
            <w:tcW w:w="1604" w:type="dxa"/>
            <w:vAlign w:val="center"/>
          </w:tcPr>
          <w:p w14:paraId="472D422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AS告警触发截图</w:t>
            </w:r>
          </w:p>
        </w:tc>
        <w:tc>
          <w:tcPr>
            <w:tcW w:w="825" w:type="dxa"/>
            <w:vAlign w:val="center"/>
          </w:tcPr>
          <w:p w14:paraId="4A8E6DD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0E5717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6893D2A6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01C1696B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restart"/>
            <w:vAlign w:val="center"/>
          </w:tcPr>
          <w:p w14:paraId="00B5544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第17周</w:t>
            </w:r>
          </w:p>
        </w:tc>
        <w:tc>
          <w:tcPr>
            <w:tcW w:w="1514" w:type="dxa"/>
            <w:vAlign w:val="center"/>
          </w:tcPr>
          <w:p w14:paraId="2514B30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任务五 检查测试</w:t>
            </w:r>
          </w:p>
        </w:tc>
        <w:tc>
          <w:tcPr>
            <w:tcW w:w="1244" w:type="dxa"/>
            <w:vAlign w:val="center"/>
          </w:tcPr>
          <w:p w14:paraId="505F5E9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5C8A8F2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业务高可用单点故障模拟与切换测试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横向练习：使用JMeter或LoadRunner进行并发访问压力测试，真实触发AS弹性伸缩</w:t>
            </w:r>
          </w:p>
        </w:tc>
        <w:tc>
          <w:tcPr>
            <w:tcW w:w="1604" w:type="dxa"/>
            <w:vAlign w:val="center"/>
          </w:tcPr>
          <w:p w14:paraId="712587D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压测数据报告</w:t>
            </w:r>
          </w:p>
        </w:tc>
        <w:tc>
          <w:tcPr>
            <w:tcW w:w="825" w:type="dxa"/>
            <w:vAlign w:val="center"/>
          </w:tcPr>
          <w:p w14:paraId="4F6A6A72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425915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35F3D296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01048EDE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03185334">
            <w:pP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</w:p>
        </w:tc>
        <w:tc>
          <w:tcPr>
            <w:tcW w:w="1514" w:type="dxa"/>
            <w:vAlign w:val="center"/>
          </w:tcPr>
          <w:p w14:paraId="0F76CF3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任务五 检查测试</w:t>
            </w:r>
          </w:p>
        </w:tc>
        <w:tc>
          <w:tcPr>
            <w:tcW w:w="1244" w:type="dxa"/>
            <w:vAlign w:val="center"/>
          </w:tcPr>
          <w:p w14:paraId="160EA91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2235ED9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弹性伸缩触发响应效果综合验证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D35400"/>
                <w:sz w:val="15"/>
                <w:szCs w:val="15"/>
              </w:rPr>
              <w:t>完成：编制“公有云高可用网站集群交付白皮书”并向模拟客户(教师)进行交付汇报PPT</w:t>
            </w:r>
          </w:p>
        </w:tc>
        <w:tc>
          <w:tcPr>
            <w:tcW w:w="1604" w:type="dxa"/>
            <w:vAlign w:val="center"/>
          </w:tcPr>
          <w:p w14:paraId="596C1F0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交付白皮书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客户汇报PPT</w:t>
            </w:r>
          </w:p>
        </w:tc>
        <w:tc>
          <w:tcPr>
            <w:tcW w:w="825" w:type="dxa"/>
            <w:vAlign w:val="center"/>
          </w:tcPr>
          <w:p w14:paraId="006CC1AC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439C6D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restart"/>
            <w:vAlign w:val="center"/>
          </w:tcPr>
          <w:p w14:paraId="6381063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综合实践演练</w:t>
            </w:r>
          </w:p>
        </w:tc>
        <w:tc>
          <w:tcPr>
            <w:tcW w:w="929" w:type="dxa"/>
            <w:vMerge w:val="restart"/>
            <w:vAlign w:val="center"/>
          </w:tcPr>
          <w:p w14:paraId="790C3E4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6</w:t>
            </w:r>
          </w:p>
        </w:tc>
        <w:tc>
          <w:tcPr>
            <w:tcW w:w="796" w:type="dxa"/>
            <w:vMerge w:val="restart"/>
            <w:vAlign w:val="center"/>
          </w:tcPr>
          <w:p w14:paraId="5821C38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第18周</w:t>
            </w:r>
          </w:p>
        </w:tc>
        <w:tc>
          <w:tcPr>
            <w:tcW w:w="1514" w:type="dxa"/>
            <w:vAlign w:val="center"/>
          </w:tcPr>
          <w:p w14:paraId="2F3F14D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实训需求规划</w:t>
            </w:r>
          </w:p>
        </w:tc>
        <w:tc>
          <w:tcPr>
            <w:tcW w:w="1244" w:type="dxa"/>
            <w:vAlign w:val="center"/>
          </w:tcPr>
          <w:p w14:paraId="7E66721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383B0C8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跨平台(容器化应用+公有云组件)混合架构集成需求规划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横向任务：以小组形式讨论跨平台网络打通的难点及安全防护策略</w:t>
            </w:r>
          </w:p>
        </w:tc>
        <w:tc>
          <w:tcPr>
            <w:tcW w:w="1604" w:type="dxa"/>
            <w:vAlign w:val="center"/>
          </w:tcPr>
          <w:p w14:paraId="72A4ACE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综合实训规划书</w:t>
            </w:r>
          </w:p>
        </w:tc>
        <w:tc>
          <w:tcPr>
            <w:tcW w:w="825" w:type="dxa"/>
            <w:vAlign w:val="center"/>
          </w:tcPr>
          <w:p w14:paraId="5D96E4F1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5A21CA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1DB8BD6C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5990CC6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0B0BB56E">
            <w:pP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</w:p>
        </w:tc>
        <w:tc>
          <w:tcPr>
            <w:tcW w:w="1514" w:type="dxa"/>
            <w:vAlign w:val="center"/>
          </w:tcPr>
          <w:p w14:paraId="679EFD5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综合部署实操</w:t>
            </w:r>
          </w:p>
        </w:tc>
        <w:tc>
          <w:tcPr>
            <w:tcW w:w="1244" w:type="dxa"/>
            <w:vAlign w:val="center"/>
          </w:tcPr>
          <w:p w14:paraId="0ED44A5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052D2F9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服务器综合部署实操，连通本地系统与云端应用进行调试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D35400"/>
                <w:sz w:val="15"/>
                <w:szCs w:val="15"/>
              </w:rPr>
              <w:t>完成：制作期末综合实训总结操作演示视频或大型海报展板展示</w:t>
            </w:r>
          </w:p>
        </w:tc>
        <w:tc>
          <w:tcPr>
            <w:tcW w:w="1604" w:type="dxa"/>
            <w:vAlign w:val="center"/>
          </w:tcPr>
          <w:p w14:paraId="297B7B3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操作演示视频</w:t>
            </w:r>
          </w:p>
        </w:tc>
        <w:tc>
          <w:tcPr>
            <w:tcW w:w="825" w:type="dxa"/>
            <w:vAlign w:val="center"/>
          </w:tcPr>
          <w:p w14:paraId="4BE5A25E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26615D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restart"/>
            <w:vAlign w:val="center"/>
          </w:tcPr>
          <w:p w14:paraId="54A033A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期末总复习</w:t>
            </w:r>
          </w:p>
        </w:tc>
        <w:tc>
          <w:tcPr>
            <w:tcW w:w="929" w:type="dxa"/>
            <w:vMerge w:val="restart"/>
            <w:vAlign w:val="center"/>
          </w:tcPr>
          <w:p w14:paraId="1C27C43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6</w:t>
            </w:r>
          </w:p>
        </w:tc>
        <w:tc>
          <w:tcPr>
            <w:tcW w:w="796" w:type="dxa"/>
            <w:vMerge w:val="restart"/>
            <w:vAlign w:val="center"/>
          </w:tcPr>
          <w:p w14:paraId="3DFE423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第19周</w:t>
            </w:r>
          </w:p>
        </w:tc>
        <w:tc>
          <w:tcPr>
            <w:tcW w:w="1514" w:type="dxa"/>
            <w:vAlign w:val="center"/>
          </w:tcPr>
          <w:p w14:paraId="69036AB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课程复习(一)</w:t>
            </w:r>
          </w:p>
        </w:tc>
        <w:tc>
          <w:tcPr>
            <w:tcW w:w="1244" w:type="dxa"/>
            <w:vAlign w:val="center"/>
          </w:tcPr>
          <w:p w14:paraId="234601F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63AFDFE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重点回顾 LAMP 基础配置与 KVM 虚拟化核心概念及操作指令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练习：Linux基础与高级服务配置历年考点选择题/填空题限时训练</w:t>
            </w:r>
          </w:p>
        </w:tc>
        <w:tc>
          <w:tcPr>
            <w:tcW w:w="1604" w:type="dxa"/>
            <w:vAlign w:val="center"/>
          </w:tcPr>
          <w:p w14:paraId="21CDC38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理论练习自测卷</w:t>
            </w:r>
          </w:p>
        </w:tc>
        <w:tc>
          <w:tcPr>
            <w:tcW w:w="825" w:type="dxa"/>
            <w:vAlign w:val="center"/>
          </w:tcPr>
          <w:p w14:paraId="0C8CFE28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6CBA4B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39614E6E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46A005A9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47595CC4">
            <w:pP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</w:p>
        </w:tc>
        <w:tc>
          <w:tcPr>
            <w:tcW w:w="1514" w:type="dxa"/>
            <w:vAlign w:val="center"/>
          </w:tcPr>
          <w:p w14:paraId="511F1B9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课程复习(二)</w:t>
            </w:r>
          </w:p>
        </w:tc>
        <w:tc>
          <w:tcPr>
            <w:tcW w:w="1244" w:type="dxa"/>
            <w:vAlign w:val="center"/>
          </w:tcPr>
          <w:p w14:paraId="76287A5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52C47E5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梳理 Docker 容器生命周期与公有云 ELB/AS 排错思路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br w:type="textWrapping"/>
            </w:r>
            <w:r>
              <w:rPr>
                <w:rFonts w:hint="eastAsia" w:ascii="宋体" w:hAnsi="宋体" w:eastAsia="宋体" w:cs="宋体"/>
                <w:color w:val="0056B3"/>
                <w:sz w:val="15"/>
                <w:szCs w:val="15"/>
              </w:rPr>
              <w:t>练习：云端集群排错（如：网站502报错排查流程）案例沙盘演练</w:t>
            </w:r>
          </w:p>
        </w:tc>
        <w:tc>
          <w:tcPr>
            <w:tcW w:w="1604" w:type="dxa"/>
            <w:vAlign w:val="center"/>
          </w:tcPr>
          <w:p w14:paraId="7C9AC13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排错流程脑图</w:t>
            </w:r>
          </w:p>
        </w:tc>
        <w:tc>
          <w:tcPr>
            <w:tcW w:w="825" w:type="dxa"/>
            <w:vAlign w:val="center"/>
          </w:tcPr>
          <w:p w14:paraId="14C8AD1F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39DB52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restart"/>
            <w:vAlign w:val="center"/>
          </w:tcPr>
          <w:p w14:paraId="0AE42ED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期末终结性考核</w:t>
            </w:r>
          </w:p>
        </w:tc>
        <w:tc>
          <w:tcPr>
            <w:tcW w:w="929" w:type="dxa"/>
            <w:vMerge w:val="restart"/>
            <w:vAlign w:val="center"/>
          </w:tcPr>
          <w:p w14:paraId="15D053B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6</w:t>
            </w:r>
          </w:p>
        </w:tc>
        <w:tc>
          <w:tcPr>
            <w:tcW w:w="796" w:type="dxa"/>
            <w:vMerge w:val="restart"/>
            <w:vAlign w:val="center"/>
          </w:tcPr>
          <w:p w14:paraId="2252477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第20周</w:t>
            </w:r>
          </w:p>
        </w:tc>
        <w:tc>
          <w:tcPr>
            <w:tcW w:w="1514" w:type="dxa"/>
            <w:vAlign w:val="center"/>
          </w:tcPr>
          <w:p w14:paraId="78283B8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理论知识考核</w:t>
            </w:r>
          </w:p>
        </w:tc>
        <w:tc>
          <w:tcPr>
            <w:tcW w:w="1244" w:type="dxa"/>
            <w:vAlign w:val="center"/>
          </w:tcPr>
          <w:p w14:paraId="1897F53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周一(2课时)</w:t>
            </w:r>
          </w:p>
        </w:tc>
        <w:tc>
          <w:tcPr>
            <w:tcW w:w="1904" w:type="dxa"/>
            <w:vAlign w:val="center"/>
          </w:tcPr>
          <w:p w14:paraId="5A198AD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Linux 服务器部署全书理论基础知识闭卷笔试</w:t>
            </w:r>
          </w:p>
        </w:tc>
        <w:tc>
          <w:tcPr>
            <w:tcW w:w="1604" w:type="dxa"/>
            <w:vAlign w:val="center"/>
          </w:tcPr>
          <w:p w14:paraId="01BE7DF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期末理论试卷</w:t>
            </w:r>
          </w:p>
        </w:tc>
        <w:tc>
          <w:tcPr>
            <w:tcW w:w="825" w:type="dxa"/>
            <w:vAlign w:val="center"/>
          </w:tcPr>
          <w:p w14:paraId="1E5FE110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  <w:tr w14:paraId="77A32F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  <w:jc w:val="center"/>
        </w:trPr>
        <w:tc>
          <w:tcPr>
            <w:tcW w:w="1387" w:type="dxa"/>
            <w:vMerge w:val="continue"/>
            <w:vAlign w:val="center"/>
          </w:tcPr>
          <w:p w14:paraId="744B57A8">
            <w:pP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</w:p>
        </w:tc>
        <w:tc>
          <w:tcPr>
            <w:tcW w:w="929" w:type="dxa"/>
            <w:vMerge w:val="continue"/>
            <w:vAlign w:val="center"/>
          </w:tcPr>
          <w:p w14:paraId="0BBE9FE4">
            <w:pP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</w:p>
        </w:tc>
        <w:tc>
          <w:tcPr>
            <w:tcW w:w="796" w:type="dxa"/>
            <w:vMerge w:val="continue"/>
            <w:vAlign w:val="center"/>
          </w:tcPr>
          <w:p w14:paraId="6983A25F">
            <w:pP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</w:p>
        </w:tc>
        <w:tc>
          <w:tcPr>
            <w:tcW w:w="1514" w:type="dxa"/>
            <w:vAlign w:val="center"/>
          </w:tcPr>
          <w:p w14:paraId="7F5BAA6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综合实操考核</w:t>
            </w:r>
          </w:p>
        </w:tc>
        <w:tc>
          <w:tcPr>
            <w:tcW w:w="1244" w:type="dxa"/>
            <w:vAlign w:val="center"/>
          </w:tcPr>
          <w:p w14:paraId="1EF024F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周五(4课时)</w:t>
            </w:r>
          </w:p>
        </w:tc>
        <w:tc>
          <w:tcPr>
            <w:tcW w:w="1904" w:type="dxa"/>
            <w:vAlign w:val="center"/>
          </w:tcPr>
          <w:p w14:paraId="6E79694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Linux 服务器部署全书理论基础知识闭卷笔试</w:t>
            </w:r>
          </w:p>
        </w:tc>
        <w:tc>
          <w:tcPr>
            <w:tcW w:w="1604" w:type="dxa"/>
            <w:vAlign w:val="center"/>
          </w:tcPr>
          <w:p w14:paraId="2E31FBC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</w:rPr>
              <w:t>期末理论试卷</w:t>
            </w:r>
          </w:p>
        </w:tc>
        <w:tc>
          <w:tcPr>
            <w:tcW w:w="825" w:type="dxa"/>
            <w:vAlign w:val="center"/>
          </w:tcPr>
          <w:p w14:paraId="716F5871">
            <w:pPr>
              <w:rPr>
                <w:rFonts w:hint="eastAsia" w:ascii="宋体" w:hAnsi="宋体" w:eastAsia="宋体" w:cs="宋体"/>
                <w:color w:val="auto"/>
                <w:sz w:val="112"/>
                <w:szCs w:val="112"/>
              </w:rPr>
            </w:pPr>
          </w:p>
        </w:tc>
      </w:tr>
    </w:tbl>
    <w:p w14:paraId="306CA7BC">
      <w:pPr>
        <w:spacing w:before="80" w:line="231" w:lineRule="auto"/>
        <w:rPr>
          <w:rFonts w:hint="eastAsia" w:ascii="仿宋" w:hAnsi="仿宋" w:eastAsia="仿宋" w:cs="仿宋"/>
          <w:color w:val="auto"/>
          <w:spacing w:val="-4"/>
          <w:sz w:val="24"/>
          <w:szCs w:val="24"/>
        </w:rPr>
      </w:pPr>
    </w:p>
    <w:p w14:paraId="1A6A6B66">
      <w:pPr>
        <w:spacing w:before="80" w:line="231" w:lineRule="auto"/>
        <w:rPr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pacing w:val="-4"/>
          <w:sz w:val="28"/>
          <w:szCs w:val="28"/>
        </w:rPr>
        <w:t>注：表</w:t>
      </w:r>
      <w:r>
        <w:rPr>
          <w:rFonts w:hint="eastAsia" w:ascii="仿宋" w:hAnsi="仿宋" w:eastAsia="仿宋" w:cs="仿宋"/>
          <w:color w:val="auto"/>
          <w:spacing w:val="-3"/>
          <w:sz w:val="28"/>
          <w:szCs w:val="28"/>
        </w:rPr>
        <w:t>格</w:t>
      </w:r>
      <w:r>
        <w:rPr>
          <w:rFonts w:hint="eastAsia" w:ascii="仿宋" w:hAnsi="仿宋" w:eastAsia="仿宋" w:cs="仿宋"/>
          <w:color w:val="auto"/>
          <w:spacing w:val="-2"/>
          <w:sz w:val="28"/>
          <w:szCs w:val="28"/>
        </w:rPr>
        <w:t>可自行加行</w:t>
      </w:r>
    </w:p>
    <w:p w14:paraId="49129ABA">
      <w:pPr>
        <w:rPr>
          <w:color w:val="auto"/>
          <w:sz w:val="28"/>
          <w:szCs w:val="28"/>
        </w:rPr>
      </w:pPr>
    </w:p>
    <w:sectPr>
      <w:headerReference r:id="rId7" w:type="default"/>
      <w:footerReference r:id="rId8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9550B">
    <w:pPr>
      <w:spacing w:line="180" w:lineRule="auto"/>
      <w:ind w:left="4553"/>
      <w:rPr>
        <w:rFonts w:ascii="仿宋" w:hAnsi="仿宋" w:eastAsia="仿宋" w:cs="仿宋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2D536">
    <w:pPr>
      <w:spacing w:line="180" w:lineRule="auto"/>
      <w:ind w:left="4693"/>
      <w:rPr>
        <w:rFonts w:ascii="仿宋" w:hAnsi="仿宋" w:eastAsia="仿宋" w:cs="仿宋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B6052">
    <w:pPr>
      <w:pStyle w:val="2"/>
      <w:pBdr>
        <w:bottom w:val="single" w:color="auto" w:sz="4" w:space="1"/>
      </w:pBdr>
      <w:wordWrap/>
      <w:ind w:right="140"/>
      <w:jc w:val="center"/>
      <w:rPr>
        <w:rFonts w:hint="eastAsia"/>
        <w:b/>
        <w:bCs/>
        <w:sz w:val="28"/>
      </w:rPr>
    </w:pPr>
  </w:p>
  <w:p w14:paraId="2558870D">
    <w:pPr>
      <w:pStyle w:val="2"/>
      <w:pBdr>
        <w:bottom w:val="single" w:color="auto" w:sz="4" w:space="1"/>
      </w:pBdr>
      <w:wordWrap/>
      <w:ind w:right="140"/>
      <w:jc w:val="center"/>
      <w:rPr>
        <w:rFonts w:hint="eastAsia"/>
        <w:b/>
        <w:bCs/>
        <w:sz w:val="28"/>
      </w:rPr>
    </w:pPr>
  </w:p>
  <w:p w14:paraId="038B5EBC">
    <w:pPr>
      <w:pStyle w:val="2"/>
      <w:pBdr>
        <w:bottom w:val="single" w:color="auto" w:sz="4" w:space="1"/>
      </w:pBdr>
      <w:wordWrap/>
      <w:ind w:right="140"/>
      <w:jc w:val="center"/>
      <w:rPr>
        <w:b/>
        <w:bCs/>
        <w:sz w:val="21"/>
      </w:rPr>
    </w:pPr>
    <w:r>
      <w:rPr>
        <w:rFonts w:hint="eastAsia" w:ascii="仿宋" w:hAnsi="仿宋" w:eastAsia="仿宋" w:cs="仿宋"/>
        <w:b/>
        <w:bCs/>
        <w:sz w:val="32"/>
        <w:szCs w:val="32"/>
      </w:rPr>
      <w:t>广州市</w:t>
    </w:r>
    <w:r>
      <w:rPr>
        <w:rFonts w:hint="eastAsia" w:ascii="仿宋" w:hAnsi="仿宋" w:eastAsia="仿宋" w:cs="仿宋"/>
        <w:b/>
        <w:bCs/>
        <w:sz w:val="32"/>
        <w:szCs w:val="32"/>
        <w:lang w:eastAsia="zh-CN"/>
      </w:rPr>
      <w:t>技师学院</w:t>
    </w:r>
  </w:p>
  <w:p w14:paraId="5B0F7353">
    <w:pPr>
      <w:spacing w:before="114" w:line="226" w:lineRule="auto"/>
      <w:ind w:left="1168" w:firstLine="924" w:firstLineChars="300"/>
      <w:jc w:val="both"/>
      <w:outlineLvl w:val="0"/>
      <w:rPr>
        <w:rFonts w:hint="eastAsia" w:ascii="仿宋" w:hAnsi="仿宋" w:eastAsia="仿宋" w:cs="仿宋"/>
        <w:sz w:val="28"/>
        <w:szCs w:val="28"/>
      </w:rPr>
    </w:pPr>
    <w:r>
      <w:rPr>
        <w:rFonts w:hint="eastAsia" w:ascii="仿宋" w:hAnsi="仿宋" w:eastAsia="仿宋" w:cs="仿宋"/>
        <w:spacing w:val="14"/>
        <w:sz w:val="28"/>
        <w:szCs w:val="28"/>
      </w:rPr>
      <w:t>专业</w:t>
    </w:r>
    <w:r>
      <w:rPr>
        <w:rFonts w:hint="eastAsia" w:ascii="仿宋" w:hAnsi="仿宋" w:eastAsia="仿宋" w:cs="仿宋"/>
        <w:spacing w:val="12"/>
        <w:sz w:val="28"/>
        <w:szCs w:val="28"/>
      </w:rPr>
      <w:t>核</w:t>
    </w:r>
    <w:r>
      <w:rPr>
        <w:rFonts w:hint="eastAsia" w:ascii="仿宋" w:hAnsi="仿宋" w:eastAsia="仿宋" w:cs="仿宋"/>
        <w:spacing w:val="7"/>
        <w:sz w:val="28"/>
        <w:szCs w:val="28"/>
      </w:rPr>
      <w:t xml:space="preserve">心课 (一体化课程) </w:t>
    </w:r>
    <w:r>
      <w:rPr>
        <w:rFonts w:hint="eastAsia" w:ascii="仿宋" w:hAnsi="仿宋" w:eastAsia="仿宋" w:cs="仿宋"/>
        <w:spacing w:val="8"/>
        <w:sz w:val="28"/>
        <w:szCs w:val="28"/>
      </w:rPr>
      <w:t>学期授课计划</w:t>
    </w:r>
  </w:p>
  <w:p w14:paraId="55B4703B">
    <w:pPr>
      <w:spacing w:before="47" w:line="228" w:lineRule="auto"/>
      <w:ind w:left="2449"/>
      <w:rPr>
        <w:rFonts w:hint="eastAsia" w:ascii="仿宋" w:hAnsi="仿宋" w:eastAsia="仿宋" w:cs="仿宋"/>
        <w:spacing w:val="4"/>
        <w:sz w:val="28"/>
        <w:szCs w:val="28"/>
      </w:rPr>
    </w:pPr>
    <w:r>
      <w:rPr>
        <w:rFonts w:hint="eastAsia" w:ascii="仿宋" w:hAnsi="仿宋" w:eastAsia="仿宋" w:cs="仿宋"/>
        <w:spacing w:val="8"/>
        <w:sz w:val="28"/>
        <w:szCs w:val="28"/>
      </w:rPr>
      <w:t xml:space="preserve">20  </w:t>
    </w:r>
    <w:r>
      <w:rPr>
        <w:rFonts w:hint="eastAsia" w:ascii="仿宋" w:hAnsi="仿宋" w:eastAsia="仿宋" w:cs="仿宋"/>
        <w:spacing w:val="8"/>
        <w:sz w:val="28"/>
        <w:szCs w:val="28"/>
        <w:lang w:val="en-US" w:eastAsia="zh-CN"/>
      </w:rPr>
      <w:t>25</w:t>
    </w:r>
    <w:r>
      <w:rPr>
        <w:rFonts w:hint="eastAsia" w:ascii="仿宋" w:hAnsi="仿宋" w:eastAsia="仿宋" w:cs="仿宋"/>
        <w:spacing w:val="8"/>
        <w:sz w:val="28"/>
        <w:szCs w:val="28"/>
      </w:rPr>
      <w:t xml:space="preserve"> </w:t>
    </w:r>
    <w:r>
      <w:rPr>
        <w:rFonts w:hint="eastAsia" w:ascii="仿宋" w:hAnsi="仿宋" w:eastAsia="仿宋" w:cs="仿宋"/>
        <w:spacing w:val="4"/>
        <w:sz w:val="28"/>
        <w:szCs w:val="28"/>
      </w:rPr>
      <w:t xml:space="preserve">   — 20   </w:t>
    </w:r>
    <w:r>
      <w:rPr>
        <w:rFonts w:hint="eastAsia" w:ascii="仿宋" w:hAnsi="仿宋" w:eastAsia="仿宋" w:cs="仿宋"/>
        <w:spacing w:val="4"/>
        <w:sz w:val="28"/>
        <w:szCs w:val="28"/>
        <w:lang w:val="en-US" w:eastAsia="zh-CN"/>
      </w:rPr>
      <w:t>26</w:t>
    </w:r>
    <w:r>
      <w:rPr>
        <w:rFonts w:hint="eastAsia" w:ascii="仿宋" w:hAnsi="仿宋" w:eastAsia="仿宋" w:cs="仿宋"/>
        <w:spacing w:val="4"/>
        <w:sz w:val="28"/>
        <w:szCs w:val="28"/>
      </w:rPr>
      <w:t xml:space="preserve">   学年    第  </w:t>
    </w:r>
    <w:r>
      <w:rPr>
        <w:rFonts w:hint="eastAsia" w:ascii="仿宋" w:hAnsi="仿宋" w:eastAsia="仿宋" w:cs="仿宋"/>
        <w:spacing w:val="4"/>
        <w:sz w:val="28"/>
        <w:szCs w:val="28"/>
        <w:lang w:val="en-US" w:eastAsia="zh-CN"/>
      </w:rPr>
      <w:t>2</w:t>
    </w:r>
    <w:r>
      <w:rPr>
        <w:rFonts w:hint="eastAsia" w:ascii="仿宋" w:hAnsi="仿宋" w:eastAsia="仿宋" w:cs="仿宋"/>
        <w:spacing w:val="4"/>
        <w:sz w:val="28"/>
        <w:szCs w:val="28"/>
      </w:rPr>
      <w:t xml:space="preserve"> 学期</w:t>
    </w:r>
  </w:p>
  <w:p w14:paraId="127A397A">
    <w:pPr>
      <w:spacing w:before="47" w:line="228" w:lineRule="auto"/>
      <w:ind w:left="2449"/>
      <w:rPr>
        <w:rFonts w:hint="eastAsia" w:ascii="仿宋" w:hAnsi="仿宋" w:eastAsia="仿宋" w:cs="仿宋"/>
        <w:spacing w:val="4"/>
        <w:sz w:val="28"/>
        <w:szCs w:val="28"/>
      </w:rPr>
    </w:pPr>
  </w:p>
  <w:p w14:paraId="4E78F795">
    <w:pPr>
      <w:pBdr>
        <w:bottom w:val="single" w:color="auto" w:sz="4" w:space="0"/>
      </w:pBdr>
      <w:tabs>
        <w:tab w:val="left" w:pos="345"/>
        <w:tab w:val="center" w:pos="4153"/>
      </w:tabs>
      <w:jc w:val="left"/>
      <w:rPr>
        <w:rFonts w:hint="eastAsia" w:eastAsia="宋体"/>
        <w:lang w:eastAsia="zh-CN"/>
      </w:rPr>
    </w:pPr>
    <w:r>
      <w:rPr>
        <w:rFonts w:hint="eastAsia" w:ascii="宋体" w:hAnsi="宋体" w:eastAsia="宋体" w:cs="宋体"/>
        <w:szCs w:val="21"/>
      </w:rPr>
      <w:t>编号：QD-851b-</w:t>
    </w:r>
    <w:r>
      <w:rPr>
        <w:rFonts w:hint="eastAsia" w:ascii="宋体" w:hAnsi="宋体" w:eastAsia="宋体" w:cs="宋体"/>
        <w:szCs w:val="21"/>
        <w:lang w:val="en-US" w:eastAsia="zh-CN"/>
      </w:rPr>
      <w:t>13</w:t>
    </w:r>
    <w:r>
      <w:rPr>
        <w:rFonts w:hint="eastAsia" w:ascii="宋体" w:hAnsi="宋体" w:eastAsia="宋体" w:cs="宋体"/>
        <w:szCs w:val="21"/>
      </w:rPr>
      <w:t xml:space="preserve">              </w:t>
    </w:r>
    <w:r>
      <w:rPr>
        <w:rFonts w:hint="eastAsia" w:ascii="宋体" w:hAnsi="宋体" w:eastAsia="宋体" w:cs="宋体"/>
        <w:szCs w:val="21"/>
        <w:lang w:val="en-US" w:eastAsia="zh-CN"/>
      </w:rPr>
      <w:t xml:space="preserve">       </w:t>
    </w:r>
    <w:r>
      <w:rPr>
        <w:rFonts w:hint="eastAsia" w:ascii="宋体" w:hAnsi="宋体" w:eastAsia="宋体" w:cs="宋体"/>
        <w:szCs w:val="21"/>
      </w:rPr>
      <w:t xml:space="preserve">版本号：A/0            </w:t>
    </w:r>
    <w:r>
      <w:rPr>
        <w:rFonts w:hint="eastAsia" w:ascii="宋体" w:hAnsi="宋体" w:eastAsia="宋体" w:cs="宋体"/>
        <w:szCs w:val="21"/>
        <w:lang w:val="en-US" w:eastAsia="zh-CN"/>
      </w:rPr>
      <w:t xml:space="preserve">                 </w:t>
    </w:r>
    <w:r>
      <w:rPr>
        <w:rFonts w:hint="eastAsia" w:ascii="宋体" w:hAnsi="宋体" w:eastAsia="宋体" w:cs="宋体"/>
        <w:szCs w:val="21"/>
      </w:rPr>
      <w:t>流水号：HS-</w:t>
    </w:r>
  </w:p>
  <w:p w14:paraId="37E32F18">
    <w:pPr>
      <w:pStyle w:val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38F4B">
    <w:pPr>
      <w:pStyle w:val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1OTZlNTdkNWFiMGE1NDMwZjFiZDBjMDdlOTVjZWYifQ=="/>
  </w:docVars>
  <w:rsids>
    <w:rsidRoot w:val="075435C4"/>
    <w:rsid w:val="075435C4"/>
    <w:rsid w:val="0CFA6959"/>
    <w:rsid w:val="0F0E28DE"/>
    <w:rsid w:val="1BCD0588"/>
    <w:rsid w:val="1C3657E8"/>
    <w:rsid w:val="1C646FED"/>
    <w:rsid w:val="29062B20"/>
    <w:rsid w:val="2C680A17"/>
    <w:rsid w:val="2CEF7D16"/>
    <w:rsid w:val="3F105020"/>
    <w:rsid w:val="55D607AA"/>
    <w:rsid w:val="7A73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">
    <w:name w:val="Normal (Web)"/>
    <w:basedOn w:val="1"/>
    <w:uiPriority w:val="0"/>
    <w:rPr>
      <w:sz w:val="24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5888</Words>
  <Characters>6698</Characters>
  <Lines>0</Lines>
  <Paragraphs>0</Paragraphs>
  <TotalTime>561</TotalTime>
  <ScaleCrop>false</ScaleCrop>
  <LinksUpToDate>false</LinksUpToDate>
  <CharactersWithSpaces>7049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2023-07-04T06:56:00Z</dcterms:created>
  <dc:creator>Snail</dc:creator>
  <cp:lastModifiedBy>22903</cp:lastModifiedBy>
  <cp:lastPrinted>2023-07-10T03:58:00Z</cp:lastPrinted>
  <dcterms:modified xsi:type="dcterms:W3CDTF">2026-02-27T01:10:46Z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B9EEA595467E4E8CAC9D45DF917D7107_13</vt:lpwstr>
  </property>
  <property fmtid="{D5CDD505-2E9C-101B-9397-08002B2CF9AE}" pid="4" name="KSOTemplateDocerSaveRecord">
    <vt:lpwstr>eyJoZGlkIjoiMDljYzUzMWQ4OWI0YzBkYjYzMDRhZTY5ZjZkYmFmYTgiLCJ1c2VySWQiOiIyMjE3MzU0NjUifQ==</vt:lpwstr>
  </property>
</Properties>
</file>