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59CED">
      <w:pPr>
        <w:spacing w:before="24" w:line="230" w:lineRule="auto"/>
        <w:jc w:val="center"/>
        <w:rPr>
          <w:rFonts w:hint="eastAsia" w:ascii="宋体" w:hAnsi="宋体" w:eastAsia="宋体" w:cs="宋体"/>
          <w:sz w:val="21"/>
          <w:lang w:val="en-US" w:eastAsia="zh-CN"/>
        </w:rPr>
      </w:pPr>
      <w:r>
        <w:rPr>
          <w:rFonts w:hint="eastAsia" w:ascii="宋体" w:hAnsi="宋体" w:eastAsia="宋体" w:cs="宋体"/>
          <w:spacing w:val="1"/>
          <w:sz w:val="21"/>
        </w:rPr>
        <w:t>20  2</w:t>
      </w:r>
      <w:r>
        <w:rPr>
          <w:rFonts w:hint="eastAsia" w:ascii="宋体" w:hAnsi="宋体" w:eastAsia="宋体" w:cs="宋体"/>
          <w:spacing w:val="1"/>
          <w:sz w:val="21"/>
          <w:lang w:val="en-US" w:eastAsia="zh-CN"/>
        </w:rPr>
        <w:t>5</w:t>
      </w:r>
      <w:r>
        <w:rPr>
          <w:rFonts w:hint="eastAsia" w:ascii="宋体" w:hAnsi="宋体" w:eastAsia="宋体" w:cs="宋体"/>
          <w:spacing w:val="1"/>
          <w:sz w:val="21"/>
        </w:rPr>
        <w:t xml:space="preserve">  —20  2</w:t>
      </w:r>
      <w:r>
        <w:rPr>
          <w:rFonts w:hint="eastAsia" w:ascii="宋体" w:hAnsi="宋体" w:eastAsia="宋体" w:cs="宋体"/>
          <w:spacing w:val="1"/>
          <w:sz w:val="21"/>
          <w:lang w:val="en-US" w:eastAsia="zh-CN"/>
        </w:rPr>
        <w:t>6</w:t>
      </w:r>
      <w:r>
        <w:rPr>
          <w:rFonts w:hint="eastAsia" w:ascii="宋体" w:hAnsi="宋体" w:eastAsia="宋体" w:cs="宋体"/>
          <w:spacing w:val="1"/>
          <w:sz w:val="21"/>
        </w:rPr>
        <w:t xml:space="preserve">  学年  第</w:t>
      </w:r>
      <w:r>
        <w:rPr>
          <w:rFonts w:hint="eastAsia" w:ascii="宋体" w:hAnsi="宋体" w:eastAsia="宋体" w:cs="宋体"/>
          <w:spacing w:val="1"/>
          <w:sz w:val="21"/>
          <w:u w:val="single"/>
        </w:rPr>
        <w:t xml:space="preserve">   </w:t>
      </w:r>
      <w:r>
        <w:rPr>
          <w:rFonts w:hint="eastAsia" w:ascii="宋体" w:hAnsi="宋体" w:eastAsia="宋体" w:cs="宋体"/>
          <w:spacing w:val="1"/>
          <w:sz w:val="21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spacing w:val="1"/>
          <w:sz w:val="21"/>
          <w:u w:val="single"/>
        </w:rPr>
        <w:t xml:space="preserve">  </w:t>
      </w:r>
      <w:r>
        <w:rPr>
          <w:rFonts w:hint="eastAsia" w:ascii="宋体" w:hAnsi="宋体" w:eastAsia="宋体" w:cs="宋体"/>
          <w:spacing w:val="1"/>
          <w:sz w:val="21"/>
        </w:rPr>
        <w:t>学期  系 (部)：</w:t>
      </w:r>
      <w:r>
        <w:rPr>
          <w:rFonts w:hint="eastAsia" w:ascii="宋体" w:hAnsi="宋体" w:eastAsia="宋体" w:cs="宋体"/>
          <w:spacing w:val="1"/>
          <w:sz w:val="21"/>
          <w:u w:val="single"/>
        </w:rPr>
        <w:t xml:space="preserve">  人工智能           </w:t>
      </w:r>
      <w:r>
        <w:rPr>
          <w:rFonts w:hint="eastAsia" w:ascii="宋体" w:hAnsi="宋体" w:eastAsia="宋体" w:cs="宋体"/>
          <w:spacing w:val="1"/>
          <w:sz w:val="21"/>
        </w:rPr>
        <w:t>授课教</w:t>
      </w:r>
      <w:r>
        <w:rPr>
          <w:rFonts w:hint="eastAsia" w:ascii="宋体" w:hAnsi="宋体" w:eastAsia="宋体" w:cs="宋体"/>
          <w:sz w:val="21"/>
        </w:rPr>
        <w:t>师：</w:t>
      </w:r>
      <w:r>
        <w:rPr>
          <w:rFonts w:hint="eastAsia" w:ascii="宋体" w:hAnsi="宋体" w:eastAsia="宋体" w:cs="宋体"/>
          <w:sz w:val="21"/>
          <w:lang w:val="en-US" w:eastAsia="zh-CN"/>
        </w:rPr>
        <w:t>刘达康</w:t>
      </w:r>
    </w:p>
    <w:p w14:paraId="21796891">
      <w:pPr>
        <w:spacing w:line="129" w:lineRule="exact"/>
      </w:pPr>
    </w:p>
    <w:p w14:paraId="521F0C5A">
      <w:pPr>
        <w:spacing w:line="129" w:lineRule="exact"/>
      </w:pPr>
    </w:p>
    <w:tbl>
      <w:tblPr>
        <w:tblStyle w:val="12"/>
        <w:tblW w:w="1009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4"/>
        <w:gridCol w:w="2525"/>
        <w:gridCol w:w="1338"/>
        <w:gridCol w:w="7"/>
        <w:gridCol w:w="1039"/>
        <w:gridCol w:w="2817"/>
      </w:tblGrid>
      <w:tr w14:paraId="154DB2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</w:trPr>
        <w:tc>
          <w:tcPr>
            <w:tcW w:w="2364" w:type="dxa"/>
            <w:vAlign w:val="center"/>
          </w:tcPr>
          <w:p w14:paraId="6DC36F79">
            <w:pPr>
              <w:spacing w:before="152" w:line="222" w:lineRule="auto"/>
              <w:ind w:left="583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7"/>
                <w:sz w:val="24"/>
                <w:szCs w:val="24"/>
              </w:rPr>
              <w:t>课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程名称</w:t>
            </w:r>
          </w:p>
        </w:tc>
        <w:tc>
          <w:tcPr>
            <w:tcW w:w="4909" w:type="dxa"/>
            <w:gridSpan w:val="4"/>
            <w:vAlign w:val="center"/>
          </w:tcPr>
          <w:p>
            <w:r/>
          </w:p>
        </w:tc>
        <w:tc>
          <w:tcPr>
            <w:tcW w:w="2817" w:type="dxa"/>
            <w:vMerge w:val="restart"/>
            <w:tcBorders>
              <w:bottom w:val="nil"/>
            </w:tcBorders>
          </w:tcPr>
          <w:p w14:paraId="58F54D6A">
            <w:pPr>
              <w:spacing w:before="47" w:line="222" w:lineRule="auto"/>
              <w:ind w:left="147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8"/>
                <w:sz w:val="24"/>
                <w:szCs w:val="24"/>
              </w:rPr>
              <w:t>审阅签名：</w:t>
            </w:r>
          </w:p>
          <w:p w14:paraId="22EBDCB9">
            <w:pPr>
              <w:spacing w:before="91" w:line="223" w:lineRule="auto"/>
              <w:ind w:right="29"/>
              <w:jc w:val="center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6"/>
                <w:sz w:val="24"/>
                <w:szCs w:val="24"/>
              </w:rPr>
              <w:t xml:space="preserve">年   月   </w:t>
            </w:r>
            <w:r>
              <w:rPr>
                <w:rFonts w:hint="default" w:ascii="Times New Roman" w:hAnsi="Times New Roman" w:eastAsia="楷体" w:cs="Times New Roman"/>
                <w:spacing w:val="4"/>
                <w:sz w:val="24"/>
                <w:szCs w:val="24"/>
              </w:rPr>
              <w:t>日</w:t>
            </w:r>
          </w:p>
        </w:tc>
      </w:tr>
      <w:tr w14:paraId="1704DC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364" w:type="dxa"/>
          </w:tcPr>
          <w:p w14:paraId="487C8569">
            <w:pPr>
              <w:spacing w:before="93" w:line="224" w:lineRule="auto"/>
              <w:ind w:left="594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9"/>
                <w:sz w:val="24"/>
                <w:szCs w:val="24"/>
              </w:rPr>
              <w:t>学</w:t>
            </w:r>
            <w:r>
              <w:rPr>
                <w:rFonts w:hint="default" w:ascii="Times New Roman" w:hAnsi="Times New Roman" w:eastAsia="楷体" w:cs="Times New Roman"/>
                <w:spacing w:val="-7"/>
                <w:sz w:val="24"/>
                <w:szCs w:val="24"/>
              </w:rPr>
              <w:t>习任务</w:t>
            </w:r>
          </w:p>
        </w:tc>
        <w:tc>
          <w:tcPr>
            <w:tcW w:w="2525" w:type="dxa"/>
            <w:vAlign w:val="center"/>
          </w:tcPr>
          <w:p>
            <w:r/>
          </w:p>
        </w:tc>
        <w:tc>
          <w:tcPr>
            <w:tcW w:w="1345" w:type="dxa"/>
            <w:gridSpan w:val="2"/>
          </w:tcPr>
          <w:p w14:paraId="53D91098">
            <w:pPr>
              <w:spacing w:before="94" w:line="222" w:lineRule="auto"/>
              <w:ind w:left="279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11"/>
                <w:sz w:val="24"/>
                <w:szCs w:val="24"/>
              </w:rPr>
              <w:t>总</w:t>
            </w:r>
            <w:r>
              <w:rPr>
                <w:rFonts w:hint="default" w:ascii="Times New Roman" w:hAnsi="Times New Roman" w:eastAsia="楷体" w:cs="Times New Roman"/>
                <w:spacing w:val="-9"/>
                <w:sz w:val="24"/>
                <w:szCs w:val="24"/>
              </w:rPr>
              <w:t>课时</w:t>
            </w:r>
          </w:p>
        </w:tc>
        <w:tc>
          <w:tcPr>
            <w:tcW w:w="1039" w:type="dxa"/>
            <w:vAlign w:val="center"/>
          </w:tcPr>
          <w:p>
            <w:r>
              <w:t>24</w:t>
            </w:r>
          </w:p>
        </w:tc>
        <w:tc>
          <w:tcPr>
            <w:tcW w:w="2817" w:type="dxa"/>
            <w:vMerge w:val="continue"/>
            <w:tcBorders>
              <w:top w:val="nil"/>
              <w:bottom w:val="nil"/>
            </w:tcBorders>
          </w:tcPr>
          <w:p w14:paraId="2AE1EDA6">
            <w:pPr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</w:p>
        </w:tc>
      </w:tr>
      <w:tr w14:paraId="45AE48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2364" w:type="dxa"/>
          </w:tcPr>
          <w:p w14:paraId="7E860351">
            <w:pPr>
              <w:spacing w:before="93" w:line="224" w:lineRule="auto"/>
              <w:ind w:left="594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9"/>
                <w:sz w:val="24"/>
                <w:szCs w:val="24"/>
              </w:rPr>
              <w:t>学</w:t>
            </w:r>
            <w:r>
              <w:rPr>
                <w:rFonts w:hint="default" w:ascii="Times New Roman" w:hAnsi="Times New Roman" w:eastAsia="楷体" w:cs="Times New Roman"/>
                <w:spacing w:val="-7"/>
                <w:sz w:val="24"/>
                <w:szCs w:val="24"/>
              </w:rPr>
              <w:t>习活动</w:t>
            </w:r>
          </w:p>
        </w:tc>
        <w:tc>
          <w:tcPr>
            <w:tcW w:w="2525" w:type="dxa"/>
            <w:vAlign w:val="center"/>
          </w:tcPr>
          <w:p>
            <w:r/>
          </w:p>
        </w:tc>
        <w:tc>
          <w:tcPr>
            <w:tcW w:w="1345" w:type="dxa"/>
            <w:gridSpan w:val="2"/>
          </w:tcPr>
          <w:p w14:paraId="6060A18F">
            <w:pPr>
              <w:spacing w:before="94" w:line="222" w:lineRule="auto"/>
              <w:ind w:left="215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9"/>
                <w:sz w:val="24"/>
                <w:szCs w:val="24"/>
              </w:rPr>
              <w:t>分</w:t>
            </w:r>
            <w:r>
              <w:rPr>
                <w:rFonts w:hint="default" w:ascii="Times New Roman" w:hAnsi="Times New Roman" w:eastAsia="楷体" w:cs="Times New Roman"/>
                <w:spacing w:val="-6"/>
                <w:sz w:val="24"/>
                <w:szCs w:val="24"/>
              </w:rPr>
              <w:t>课时</w:t>
            </w:r>
          </w:p>
        </w:tc>
        <w:tc>
          <w:tcPr>
            <w:tcW w:w="1039" w:type="dxa"/>
            <w:vAlign w:val="center"/>
          </w:tcPr>
          <w:p>
            <w:r>
              <w:t>6</w:t>
            </w:r>
          </w:p>
        </w:tc>
        <w:tc>
          <w:tcPr>
            <w:tcW w:w="2817" w:type="dxa"/>
            <w:vMerge w:val="continue"/>
            <w:tcBorders>
              <w:top w:val="nil"/>
              <w:bottom w:val="nil"/>
            </w:tcBorders>
          </w:tcPr>
          <w:p w14:paraId="4CCC6371">
            <w:pPr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</w:p>
        </w:tc>
      </w:tr>
      <w:tr w14:paraId="367F49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2364" w:type="dxa"/>
          </w:tcPr>
          <w:p w14:paraId="43F6D71A">
            <w:pPr>
              <w:spacing w:before="95" w:line="224" w:lineRule="auto"/>
              <w:ind w:left="581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5"/>
                <w:sz w:val="24"/>
                <w:szCs w:val="24"/>
              </w:rPr>
              <w:t>教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学班级</w:t>
            </w:r>
          </w:p>
        </w:tc>
        <w:tc>
          <w:tcPr>
            <w:tcW w:w="2525" w:type="dxa"/>
            <w:vAlign w:val="center"/>
          </w:tcPr>
          <w:p w14:paraId="5146D72A">
            <w:r>
              <w:rPr>
                <w:rFonts w:hint="eastAsia"/>
              </w:rPr>
              <w:t>2023级人工智能技术应用高级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班</w:t>
            </w:r>
          </w:p>
        </w:tc>
        <w:tc>
          <w:tcPr>
            <w:tcW w:w="1345" w:type="dxa"/>
            <w:gridSpan w:val="2"/>
          </w:tcPr>
          <w:p w14:paraId="1B6C5BA3">
            <w:pPr>
              <w:spacing w:before="96" w:line="222" w:lineRule="auto"/>
              <w:ind w:left="72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6"/>
                <w:sz w:val="24"/>
                <w:szCs w:val="24"/>
              </w:rPr>
              <w:t>授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课日期</w:t>
            </w:r>
          </w:p>
        </w:tc>
        <w:tc>
          <w:tcPr>
            <w:tcW w:w="1039" w:type="dxa"/>
          </w:tcPr>
          <w:p>
            <w:r>
              <w:t>2026-03-25</w:t>
            </w:r>
          </w:p>
        </w:tc>
        <w:tc>
          <w:tcPr>
            <w:tcW w:w="2817" w:type="dxa"/>
            <w:vMerge w:val="continue"/>
            <w:tcBorders>
              <w:top w:val="nil"/>
            </w:tcBorders>
          </w:tcPr>
          <w:p w14:paraId="519245A4">
            <w:pPr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</w:p>
        </w:tc>
      </w:tr>
      <w:tr w14:paraId="17C4B6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364" w:type="dxa"/>
          </w:tcPr>
          <w:p w14:paraId="41A65BB4">
            <w:pPr>
              <w:spacing w:before="88" w:line="224" w:lineRule="auto"/>
              <w:ind w:left="313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5"/>
                <w:sz w:val="24"/>
                <w:szCs w:val="24"/>
              </w:rPr>
              <w:t>学习任务描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述</w:t>
            </w:r>
          </w:p>
        </w:tc>
        <w:tc>
          <w:tcPr>
            <w:tcW w:w="7726" w:type="dxa"/>
            <w:gridSpan w:val="5"/>
          </w:tcPr>
          <w:p>
            <w:r/>
          </w:p>
        </w:tc>
      </w:tr>
      <w:tr w14:paraId="43AE53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364" w:type="dxa"/>
          </w:tcPr>
          <w:p w14:paraId="36DF15D5">
            <w:pPr>
              <w:spacing w:before="88" w:line="223" w:lineRule="auto"/>
              <w:ind w:left="302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3"/>
                <w:sz w:val="24"/>
                <w:szCs w:val="24"/>
              </w:rPr>
              <w:t>本次学习活动</w:t>
            </w:r>
          </w:p>
        </w:tc>
        <w:tc>
          <w:tcPr>
            <w:tcW w:w="7726" w:type="dxa"/>
            <w:gridSpan w:val="5"/>
          </w:tcPr>
          <w:p>
            <w:r/>
          </w:p>
        </w:tc>
      </w:tr>
      <w:tr w14:paraId="5D7945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2364" w:type="dxa"/>
          </w:tcPr>
          <w:p w14:paraId="7306BAB7">
            <w:pPr>
              <w:spacing w:before="174" w:line="222" w:lineRule="auto"/>
              <w:ind w:left="594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9"/>
                <w:sz w:val="24"/>
                <w:szCs w:val="24"/>
              </w:rPr>
              <w:t>学</w:t>
            </w:r>
            <w:r>
              <w:rPr>
                <w:rFonts w:hint="default" w:ascii="Times New Roman" w:hAnsi="Times New Roman" w:eastAsia="楷体" w:cs="Times New Roman"/>
                <w:spacing w:val="-7"/>
                <w:sz w:val="24"/>
                <w:szCs w:val="24"/>
              </w:rPr>
              <w:t>情分析</w:t>
            </w:r>
          </w:p>
        </w:tc>
        <w:tc>
          <w:tcPr>
            <w:tcW w:w="7726" w:type="dxa"/>
            <w:gridSpan w:val="5"/>
          </w:tcPr>
          <w:p w14:paraId="05974A59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班级：2023级人工智能应用技术高级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班</w:t>
            </w:r>
          </w:p>
          <w:p w14:paraId="16C1995B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人数：30（男生2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8</w:t>
            </w: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个，女生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个）</w:t>
            </w:r>
          </w:p>
          <w:p w14:paraId="32330254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已学专业理论课程：《人工智能概论》《Python 程序设计基础》《工程制图》</w:t>
            </w:r>
          </w:p>
          <w:p w14:paraId="53C68050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已学工学一体化课程：《数据采集》《数据处理》《数据标注》</w:t>
            </w:r>
          </w:p>
          <w:p w14:paraId="38FA9943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本课程任务位置：本课程是第四门工学一体化课程，共有4个学习任务，第1个学习任务。</w:t>
            </w:r>
          </w:p>
          <w:p w14:paraId="105030C6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专业能力分析：</w:t>
            </w:r>
          </w:p>
          <w:p w14:paraId="69E2008D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基础：学生已掌握 Python 编程基础，具备《工程制图》中对 CAD 图纸的识读能力 ；通过前序工学一体化课程，熟悉了数据处理流程及一体化教学的组织形式。</w:t>
            </w:r>
          </w:p>
          <w:p w14:paraId="4F7ED367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不足：学生首次接触 Webots 仿真平台，对数字孪生建模、虚拟传感器集成（如 RangeFinder）及逻辑关联（Controller）缺乏实操经验 ；对于如何将 Python 脚本应用于机器人运动姿态控制及振动数据抓取尚属陌生 。</w:t>
            </w:r>
          </w:p>
          <w:p w14:paraId="18615CA7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策略：采用“虚实结合”教学法。利用 Webots 官方文档与案例，引导学生从基础节点（Nodes）配置入手 ；通过阶梯式任务，先完成简单的场景搭建，再进行复杂的脚本编写与参数优化 ，帮助学生建立从物理模型到逻辑控制的系统认知。</w:t>
            </w:r>
          </w:p>
          <w:p w14:paraId="35EFD109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社会能力分析：</w:t>
            </w:r>
          </w:p>
          <w:p w14:paraId="5B1A7E00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基础：学生性格活泼、思维活跃，习惯于小组合作学习模式，具备基本的专业沟通能力 。</w:t>
            </w:r>
          </w:p>
          <w:p w14:paraId="61A0E358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缺点：在面对复杂的仿真调试（如参数震荡、碰撞逻辑错误）时，容易产生挫败感，缺乏组织管理能力和自控力 。。</w:t>
            </w:r>
          </w:p>
          <w:p w14:paraId="7216D3E1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策略：实行小组长负责制。在任务一的 4 天工期内，要求小组制订明确的仿真开发进度计划 ；通过小组汇报与阶段性成果演示（如机器人成功爬升测试），增强团队成就感。</w:t>
            </w:r>
          </w:p>
          <w:p w14:paraId="782D71A5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职业素养分析：</w:t>
            </w:r>
          </w:p>
          <w:p w14:paraId="7DBC096A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基础：已养成初步的 6S 管理习惯，具备执行行业安全环保制度的基础。</w:t>
            </w:r>
          </w:p>
          <w:p w14:paraId="3C163175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欠缺：对工业级仿真规范（如 GB/T 35144—2017）及数字资产管理意识较弱 ；在繁杂的参数调优过程中，精益求精的工匠精神仍需磨炼。</w:t>
            </w:r>
          </w:p>
          <w:p w14:paraId="00322F43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策略：强化标准意识。将国家标准及行业准则融入评价体系 ；要求学生必须按照规范整理数字资产并填写《机器人仿真实验报告》，通过日常现场管理与数字化文档评分提升职业素养 。</w:t>
            </w:r>
          </w:p>
          <w:p w14:paraId="30C217C8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方法能力分析：</w:t>
            </w:r>
          </w:p>
          <w:p w14:paraId="7D83CE78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基础：能够熟练运用网络搜索、信息化平台查阅资料（如 Webots 官方文档、传感器协议）。</w:t>
            </w:r>
          </w:p>
          <w:p w14:paraId="09CFC925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欠缺：缺乏对复杂逻辑问题的复盘能力和技术文档的规范总结。</w:t>
            </w:r>
          </w:p>
          <w:p w14:paraId="436C4CFB">
            <w:pPr>
              <w:pStyle w:val="8"/>
              <w:ind w:firstLine="240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策略：案例分析法与对比法。通过对比“优化前”与“优化后”的仿真运动曲线，引导学生分析逻辑错误；要求学生利用 rosbag（或 Webots 记录功能）记录调试过程，最终形成结构化的工作记录单 。</w:t>
            </w:r>
          </w:p>
        </w:tc>
      </w:tr>
      <w:tr w14:paraId="614E49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364" w:type="dxa"/>
          </w:tcPr>
          <w:p w14:paraId="19538FF1">
            <w:pPr>
              <w:spacing w:before="88" w:line="223" w:lineRule="auto"/>
              <w:ind w:left="302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3"/>
                <w:sz w:val="24"/>
                <w:szCs w:val="24"/>
              </w:rPr>
              <w:t>本次学习目标</w:t>
            </w:r>
          </w:p>
        </w:tc>
        <w:tc>
          <w:tcPr>
            <w:tcW w:w="7726" w:type="dxa"/>
            <w:gridSpan w:val="5"/>
            <w:shd w:val="clear" w:color="auto" w:fill="auto"/>
            <w:vAlign w:val="center"/>
          </w:tcPr>
          <w:p>
            <w:r/>
          </w:p>
        </w:tc>
      </w:tr>
      <w:tr w14:paraId="3527A4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364" w:type="dxa"/>
          </w:tcPr>
          <w:p w14:paraId="5A8DC2EE">
            <w:pPr>
              <w:spacing w:before="88" w:line="223" w:lineRule="auto"/>
              <w:ind w:left="302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3"/>
                <w:sz w:val="24"/>
                <w:szCs w:val="24"/>
              </w:rPr>
              <w:t>本次学习内容</w:t>
            </w:r>
          </w:p>
        </w:tc>
        <w:tc>
          <w:tcPr>
            <w:tcW w:w="7726" w:type="dxa"/>
            <w:gridSpan w:val="5"/>
          </w:tcPr>
          <w:p>
            <w:r/>
          </w:p>
        </w:tc>
      </w:tr>
      <w:tr w14:paraId="4AD1D9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</w:trPr>
        <w:tc>
          <w:tcPr>
            <w:tcW w:w="2364" w:type="dxa"/>
            <w:vMerge w:val="restart"/>
          </w:tcPr>
          <w:p w14:paraId="68054C82">
            <w:pPr>
              <w:spacing w:before="90" w:line="224" w:lineRule="auto"/>
              <w:ind w:left="31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5"/>
                <w:sz w:val="24"/>
                <w:szCs w:val="24"/>
              </w:rPr>
              <w:t>重</w:t>
            </w:r>
            <w:r>
              <w:rPr>
                <w:rFonts w:hint="default" w:ascii="Times New Roman" w:hAnsi="Times New Roman" w:eastAsia="楷体" w:cs="Times New Roman"/>
                <w:spacing w:val="-3"/>
                <w:sz w:val="24"/>
                <w:szCs w:val="24"/>
              </w:rPr>
              <w:t>点及其突破方法</w:t>
            </w:r>
          </w:p>
        </w:tc>
        <w:tc>
          <w:tcPr>
            <w:tcW w:w="3863" w:type="dxa"/>
            <w:gridSpan w:val="2"/>
            <w:shd w:val="clear" w:color="auto" w:fill="auto"/>
            <w:vAlign w:val="center"/>
          </w:tcPr>
          <w:p w14:paraId="3230A465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重点内容</w:t>
            </w:r>
          </w:p>
        </w:tc>
        <w:tc>
          <w:tcPr>
            <w:tcW w:w="3863" w:type="dxa"/>
            <w:gridSpan w:val="3"/>
            <w:shd w:val="clear" w:color="auto" w:fill="auto"/>
            <w:vAlign w:val="center"/>
          </w:tcPr>
          <w:p>
            <w:r>
              <w:t>基础物理节点（Nodes）的层级关系与属性配置</w:t>
            </w:r>
          </w:p>
        </w:tc>
      </w:tr>
      <w:tr w14:paraId="2B0796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</w:trPr>
        <w:tc>
          <w:tcPr>
            <w:tcW w:w="2364" w:type="dxa"/>
            <w:vMerge w:val="continue"/>
          </w:tcPr>
          <w:p w14:paraId="1ABC9C7E"/>
        </w:tc>
        <w:tc>
          <w:tcPr>
            <w:tcW w:w="3863" w:type="dxa"/>
            <w:gridSpan w:val="2"/>
            <w:shd w:val="clear" w:color="auto" w:fill="auto"/>
            <w:vAlign w:val="center"/>
          </w:tcPr>
          <w:p w14:paraId="07DAB17D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确定依据</w:t>
            </w:r>
          </w:p>
        </w:tc>
        <w:tc>
          <w:tcPr>
            <w:tcW w:w="3863" w:type="dxa"/>
            <w:gridSpan w:val="3"/>
            <w:shd w:val="clear" w:color="auto" w:fill="auto"/>
            <w:vAlign w:val="center"/>
          </w:tcPr>
          <w:p>
            <w:r>
              <w:t>物理节点是构建数字孪生仿真世界的基础，参数直接决定模型能否正常运作。</w:t>
            </w:r>
          </w:p>
        </w:tc>
      </w:tr>
      <w:tr w14:paraId="640626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</w:trPr>
        <w:tc>
          <w:tcPr>
            <w:tcW w:w="2364" w:type="dxa"/>
            <w:vMerge w:val="continue"/>
          </w:tcPr>
          <w:p w14:paraId="5B4AE9B2"/>
        </w:tc>
        <w:tc>
          <w:tcPr>
            <w:tcW w:w="3863" w:type="dxa"/>
            <w:gridSpan w:val="2"/>
            <w:shd w:val="clear" w:color="auto" w:fill="auto"/>
            <w:vAlign w:val="center"/>
          </w:tcPr>
          <w:p w14:paraId="0790F878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突破方法</w:t>
            </w:r>
          </w:p>
        </w:tc>
        <w:tc>
          <w:tcPr>
            <w:tcW w:w="3863" w:type="dxa"/>
            <w:gridSpan w:val="3"/>
            <w:shd w:val="clear" w:color="auto" w:fill="auto"/>
            <w:vAlign w:val="center"/>
          </w:tcPr>
          <w:p>
            <w:r>
              <w:t>通过教师演示与Webots官方文档查阅相结合，逐步调整参数并观察3D视窗内的实时效果。</w:t>
            </w:r>
          </w:p>
        </w:tc>
      </w:tr>
      <w:tr w14:paraId="191A67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</w:trPr>
        <w:tc>
          <w:tcPr>
            <w:tcW w:w="2364" w:type="dxa"/>
            <w:vMerge w:val="restart"/>
          </w:tcPr>
          <w:p w14:paraId="74C72BE1">
            <w:pPr>
              <w:spacing w:before="88" w:line="223" w:lineRule="auto"/>
              <w:ind w:left="23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难</w:t>
            </w:r>
            <w:r>
              <w:rPr>
                <w:rFonts w:hint="default" w:ascii="Times New Roman" w:hAnsi="Times New Roman" w:eastAsia="楷体" w:cs="Times New Roman"/>
                <w:spacing w:val="-2"/>
                <w:sz w:val="24"/>
                <w:szCs w:val="24"/>
              </w:rPr>
              <w:t>点及其化解方法</w:t>
            </w:r>
          </w:p>
        </w:tc>
        <w:tc>
          <w:tcPr>
            <w:tcW w:w="3863" w:type="dxa"/>
            <w:gridSpan w:val="2"/>
          </w:tcPr>
          <w:p w14:paraId="705D7DF5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难点内容</w:t>
            </w:r>
          </w:p>
        </w:tc>
        <w:tc>
          <w:tcPr>
            <w:tcW w:w="3863" w:type="dxa"/>
            <w:gridSpan w:val="3"/>
          </w:tcPr>
          <w:p>
            <w:r>
              <w:t>Controller逻辑脚本与机器人模型的绑定联调</w:t>
            </w:r>
          </w:p>
        </w:tc>
      </w:tr>
      <w:tr w14:paraId="52AE12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</w:trPr>
        <w:tc>
          <w:tcPr>
            <w:tcW w:w="2364" w:type="dxa"/>
            <w:vMerge w:val="continue"/>
          </w:tcPr>
          <w:p w14:paraId="07A31BC2"/>
        </w:tc>
        <w:tc>
          <w:tcPr>
            <w:tcW w:w="3863" w:type="dxa"/>
            <w:gridSpan w:val="2"/>
          </w:tcPr>
          <w:p w14:paraId="448D0E96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确定依据</w:t>
            </w:r>
          </w:p>
        </w:tc>
        <w:tc>
          <w:tcPr>
            <w:tcW w:w="3863" w:type="dxa"/>
            <w:gridSpan w:val="3"/>
          </w:tcPr>
          <w:p>
            <w:r>
              <w:t>涉及Python编程与底层仿真API接口的综合运用，逻辑流转较为复杂。</w:t>
            </w:r>
          </w:p>
        </w:tc>
      </w:tr>
      <w:tr w14:paraId="148E89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</w:trPr>
        <w:tc>
          <w:tcPr>
            <w:tcW w:w="2364" w:type="dxa"/>
            <w:vMerge w:val="continue"/>
          </w:tcPr>
          <w:p w14:paraId="1D1CC723"/>
        </w:tc>
        <w:tc>
          <w:tcPr>
            <w:tcW w:w="3863" w:type="dxa"/>
            <w:gridSpan w:val="2"/>
          </w:tcPr>
          <w:p w14:paraId="005C4C75">
            <w:pPr>
              <w:rPr>
                <w:rFonts w:hint="default" w:eastAsia="楷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化解方法</w:t>
            </w:r>
          </w:p>
        </w:tc>
        <w:tc>
          <w:tcPr>
            <w:tcW w:w="3863" w:type="dxa"/>
            <w:gridSpan w:val="3"/>
          </w:tcPr>
          <w:p>
            <w:r>
              <w:t>提供基础代码框架，利用“填空式”编程法引导学生完成逻辑关联，降低代码门槛。</w:t>
            </w:r>
          </w:p>
        </w:tc>
      </w:tr>
      <w:tr w14:paraId="544E8A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364" w:type="dxa"/>
          </w:tcPr>
          <w:p w14:paraId="45F11333">
            <w:pPr>
              <w:spacing w:before="87" w:line="223" w:lineRule="auto"/>
              <w:ind w:left="581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5"/>
                <w:sz w:val="24"/>
                <w:szCs w:val="24"/>
              </w:rPr>
              <w:t>教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学策略</w:t>
            </w:r>
          </w:p>
        </w:tc>
        <w:tc>
          <w:tcPr>
            <w:tcW w:w="7726" w:type="dxa"/>
            <w:gridSpan w:val="5"/>
          </w:tcPr>
          <w:p>
            <w:r>
              <w:t>任务驱动法、虚实结合法、阶梯式教学法、小组合作法</w:t>
            </w:r>
          </w:p>
        </w:tc>
      </w:tr>
      <w:tr w14:paraId="66C8CF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364" w:type="dxa"/>
          </w:tcPr>
          <w:p w14:paraId="137603DD">
            <w:pPr>
              <w:spacing w:before="89" w:line="221" w:lineRule="auto"/>
              <w:ind w:left="181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8"/>
                <w:sz w:val="24"/>
                <w:szCs w:val="24"/>
              </w:rPr>
              <w:t>阶</w:t>
            </w:r>
            <w:r>
              <w:rPr>
                <w:rFonts w:hint="default" w:ascii="Times New Roman" w:hAnsi="Times New Roman" w:eastAsia="楷体" w:cs="Times New Roman"/>
                <w:spacing w:val="-5"/>
                <w:sz w:val="24"/>
                <w:szCs w:val="24"/>
              </w:rPr>
              <w:t>段性学业成果</w:t>
            </w:r>
          </w:p>
        </w:tc>
        <w:tc>
          <w:tcPr>
            <w:tcW w:w="7726" w:type="dxa"/>
            <w:gridSpan w:val="5"/>
          </w:tcPr>
          <w:p>
            <w:r/>
          </w:p>
        </w:tc>
      </w:tr>
      <w:tr w14:paraId="22DD7D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364" w:type="dxa"/>
          </w:tcPr>
          <w:p w14:paraId="0E1819D2">
            <w:pPr>
              <w:spacing w:before="88" w:line="223" w:lineRule="auto"/>
              <w:ind w:left="357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教学</w:t>
            </w:r>
            <w:r>
              <w:rPr>
                <w:rFonts w:hint="default" w:ascii="Times New Roman" w:hAnsi="Times New Roman" w:eastAsia="楷体" w:cs="Times New Roman"/>
                <w:spacing w:val="-2"/>
                <w:sz w:val="24"/>
                <w:szCs w:val="24"/>
              </w:rPr>
              <w:t>过程设计</w:t>
            </w:r>
          </w:p>
        </w:tc>
        <w:tc>
          <w:tcPr>
            <w:tcW w:w="7726" w:type="dxa"/>
            <w:gridSpan w:val="5"/>
          </w:tcPr>
          <w:p>
            <w:r/>
          </w:p>
        </w:tc>
      </w:tr>
      <w:tr w14:paraId="545550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1" w:hRule="atLeast"/>
        </w:trPr>
        <w:tc>
          <w:tcPr>
            <w:tcW w:w="2364" w:type="dxa"/>
            <w:vMerge w:val="restart"/>
            <w:tcBorders>
              <w:bottom w:val="nil"/>
            </w:tcBorders>
          </w:tcPr>
          <w:p w14:paraId="662DBE60">
            <w:pPr>
              <w:spacing w:before="91" w:line="223" w:lineRule="auto"/>
              <w:ind w:left="594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9"/>
                <w:sz w:val="24"/>
                <w:szCs w:val="24"/>
              </w:rPr>
              <w:t>学</w:t>
            </w:r>
            <w:r>
              <w:rPr>
                <w:rFonts w:hint="default" w:ascii="Times New Roman" w:hAnsi="Times New Roman" w:eastAsia="楷体" w:cs="Times New Roman"/>
                <w:spacing w:val="-7"/>
                <w:sz w:val="24"/>
                <w:szCs w:val="24"/>
              </w:rPr>
              <w:t>习准备</w:t>
            </w:r>
          </w:p>
        </w:tc>
        <w:tc>
          <w:tcPr>
            <w:tcW w:w="7726" w:type="dxa"/>
            <w:gridSpan w:val="5"/>
          </w:tcPr>
          <w:p w14:paraId="398F40A0">
            <w:pPr>
              <w:spacing w:beforeLines="0" w:afterLines="0" w:line="400" w:lineRule="exac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1.教学场景设置</w:t>
            </w:r>
          </w:p>
          <w:p w14:paraId="21017891">
            <w:pPr>
              <w:spacing w:beforeLines="0" w:afterLines="0" w:line="400" w:lineRule="exac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人工智能训练一体化学习工作站聚焦数字化转型需求，构建"教学实训-互动体验-创作研讨"三位一体的培养体系：</w:t>
            </w:r>
          </w:p>
          <w:p w14:paraId="2D92940D">
            <w:pPr>
              <w:spacing w:beforeLines="0" w:afterLines="0" w:line="400" w:lineRule="exac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​​教学实训区：贯彻工学结合理念，围绕智能产品调试、模型训练等核心课程，打造理实一体的课程体系，培养技术扎实的创新人才；</w:t>
            </w:r>
          </w:p>
          <w:p w14:paraId="0C301D8F">
            <w:pPr>
              <w:spacing w:beforeLines="0" w:afterLines="0" w:line="400" w:lineRule="exac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​​互动体验区：通过沉浸式技术展示，以知识图谱解析AI赋能场景，激发学生职业兴趣与探究思维；</w:t>
            </w:r>
          </w:p>
          <w:p w14:paraId="6A054DAF">
            <w:pPr>
              <w:spacing w:beforeLines="0" w:afterLines="0" w:line="400" w:lineRule="exac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​​创作研讨区：提供多领域AI开发工具，以项目驱动方式培养解决实际问题的能力，夯实职业发展基础。</w:t>
            </w:r>
          </w:p>
          <w:p w14:paraId="676F3037">
            <w:pPr>
              <w:pStyle w:val="8"/>
              <w:rPr>
                <w:rFonts w:hint="eastAsia"/>
                <w:sz w:val="24"/>
                <w:szCs w:val="24"/>
              </w:rPr>
            </w:pPr>
          </w:p>
          <w:tbl>
            <w:tblPr>
              <w:tblStyle w:val="9"/>
              <w:tblW w:w="0" w:type="auto"/>
              <w:tblInd w:w="-10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46"/>
              <w:gridCol w:w="3501"/>
            </w:tblGrid>
            <w:tr w14:paraId="40E6B5D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c>
                <w:tcPr>
                  <w:tcW w:w="4146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noWrap w:val="0"/>
                  <w:vAlign w:val="top"/>
                </w:tcPr>
                <w:p w14:paraId="0AC05DBB">
                  <w:pPr>
                    <w:pStyle w:val="8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default"/>
                      <w:sz w:val="24"/>
                      <w:szCs w:val="24"/>
                    </w:rPr>
                    <w:drawing>
                      <wp:inline distT="0" distB="0" distL="114300" distR="114300">
                        <wp:extent cx="2004695" cy="1503680"/>
                        <wp:effectExtent l="0" t="0" r="5080" b="1270"/>
                        <wp:docPr id="3" name="图片 4" descr="af45c9fe1526e3a384990cd89e6322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4" descr="af45c9fe1526e3a384990cd89e6322f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4695" cy="15036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68432C5">
                  <w:pPr>
                    <w:pStyle w:val="8"/>
                    <w:jc w:val="center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教学实训区</w:t>
                  </w:r>
                </w:p>
              </w:tc>
              <w:tc>
                <w:tcPr>
                  <w:tcW w:w="3501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noWrap w:val="0"/>
                  <w:vAlign w:val="top"/>
                </w:tcPr>
                <w:p w14:paraId="69B7BCC6">
                  <w:pPr>
                    <w:pStyle w:val="8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default"/>
                      <w:sz w:val="24"/>
                      <w:szCs w:val="24"/>
                    </w:rPr>
                    <w:drawing>
                      <wp:inline distT="0" distB="0" distL="114300" distR="114300">
                        <wp:extent cx="1951990" cy="1457960"/>
                        <wp:effectExtent l="0" t="0" r="635" b="8890"/>
                        <wp:docPr id="2" name="图片 5" descr="c44cd36bb5922a24b79ea724362a6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图片 5" descr="c44cd36bb5922a24b79ea724362a68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1990" cy="14579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C43EB55">
                  <w:pPr>
                    <w:pStyle w:val="8"/>
                    <w:jc w:val="center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互动体验区</w:t>
                  </w:r>
                </w:p>
              </w:tc>
            </w:tr>
            <w:tr w14:paraId="1805081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64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noWrap w:val="0"/>
                  <w:vAlign w:val="top"/>
                </w:tcPr>
                <w:p w14:paraId="2B9A308A">
                  <w:pPr>
                    <w:pStyle w:val="8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default"/>
                      <w:sz w:val="24"/>
                      <w:szCs w:val="24"/>
                    </w:rPr>
                    <w:drawing>
                      <wp:inline distT="0" distB="0" distL="114300" distR="114300">
                        <wp:extent cx="2362200" cy="1771650"/>
                        <wp:effectExtent l="0" t="0" r="0" b="0"/>
                        <wp:docPr id="1" name="图片 6" descr="ff6ea0af07863f9c899fd10a00d17a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6" descr="ff6ea0af07863f9c899fd10a00d17a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2200" cy="1771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AF04626">
                  <w:pPr>
                    <w:pStyle w:val="8"/>
                    <w:rPr>
                      <w:rFonts w:hint="eastAsia"/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创作研讨区</w:t>
                  </w:r>
                </w:p>
              </w:tc>
            </w:tr>
          </w:tbl>
          <w:p w14:paraId="760ACF00">
            <w:pPr>
              <w:jc w:val="center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</w:p>
        </w:tc>
      </w:tr>
      <w:tr w14:paraId="2FEDEF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4" w:hRule="atLeast"/>
        </w:trPr>
        <w:tc>
          <w:tcPr>
            <w:tcW w:w="2364" w:type="dxa"/>
            <w:tcBorders>
              <w:bottom w:val="nil"/>
            </w:tcBorders>
          </w:tcPr>
          <w:p w14:paraId="2346FA33">
            <w:pPr>
              <w:spacing w:before="91" w:line="223" w:lineRule="auto"/>
              <w:ind w:left="313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5"/>
                <w:sz w:val="24"/>
                <w:szCs w:val="24"/>
              </w:rPr>
              <w:t>学习效果评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价</w:t>
            </w:r>
          </w:p>
        </w:tc>
        <w:tc>
          <w:tcPr>
            <w:tcW w:w="7726" w:type="dxa"/>
            <w:gridSpan w:val="5"/>
          </w:tcPr>
          <w:p w14:paraId="0C3839D0">
            <w:pPr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</w:p>
        </w:tc>
      </w:tr>
      <w:tr w14:paraId="6D5913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2364" w:type="dxa"/>
          </w:tcPr>
          <w:p w14:paraId="1D01116C">
            <w:pPr>
              <w:spacing w:before="90" w:line="224" w:lineRule="auto"/>
              <w:ind w:left="581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5"/>
                <w:sz w:val="24"/>
                <w:szCs w:val="24"/>
              </w:rPr>
              <w:t>教</w:t>
            </w: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学反思</w:t>
            </w:r>
          </w:p>
        </w:tc>
        <w:tc>
          <w:tcPr>
            <w:tcW w:w="7726" w:type="dxa"/>
            <w:gridSpan w:val="5"/>
          </w:tcPr>
          <w:p w14:paraId="1FEB8BD4">
            <w:pPr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</w:p>
        </w:tc>
      </w:tr>
    </w:tbl>
    <w:p w14:paraId="6CD88C92">
      <w:pPr>
        <w:rPr>
          <w:sz w:val="21"/>
        </w:rPr>
      </w:pPr>
    </w:p>
    <w:p w14:paraId="404D46F8">
      <w:r>
        <w:br w:type="page"/>
      </w:r>
    </w:p>
    <w:p w14:paraId="6EE351AA">
      <w:pPr>
        <w:sectPr>
          <w:headerReference r:id="rId3" w:type="default"/>
          <w:footerReference r:id="rId4" w:type="default"/>
          <w:pgSz w:w="11906" w:h="16839"/>
          <w:pgMar w:top="400" w:right="905" w:bottom="1316" w:left="905" w:header="0" w:footer="1043" w:gutter="0"/>
          <w:cols w:space="720" w:num="1"/>
        </w:sectPr>
      </w:pPr>
    </w:p>
    <w:p w14:paraId="3F332B13"/>
    <w:p w14:paraId="395E698F"/>
    <w:p w14:paraId="264B2316"/>
    <w:p w14:paraId="5BCF2EE9">
      <w:pPr>
        <w:spacing w:line="74" w:lineRule="exact"/>
      </w:pPr>
    </w:p>
    <w:tbl>
      <w:tblPr>
        <w:tblStyle w:val="12"/>
        <w:tblW w:w="1395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82"/>
        <w:gridCol w:w="2777"/>
        <w:gridCol w:w="2777"/>
        <w:gridCol w:w="2777"/>
        <w:gridCol w:w="2838"/>
      </w:tblGrid>
      <w:tr w14:paraId="75C9C4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7" w:hRule="atLeast"/>
        </w:trPr>
        <w:tc>
          <w:tcPr>
            <w:tcW w:w="13951" w:type="dxa"/>
            <w:gridSpan w:val="5"/>
          </w:tcPr>
          <w:p w14:paraId="37DCB381">
            <w:pPr>
              <w:spacing w:before="177" w:line="223" w:lineRule="auto"/>
              <w:ind w:left="6092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4"/>
                <w:sz w:val="24"/>
                <w:szCs w:val="24"/>
              </w:rPr>
              <w:t>教学</w:t>
            </w:r>
            <w:r>
              <w:rPr>
                <w:rFonts w:hint="default" w:ascii="Times New Roman" w:hAnsi="Times New Roman" w:eastAsia="楷体" w:cs="Times New Roman"/>
                <w:spacing w:val="-2"/>
                <w:sz w:val="24"/>
                <w:szCs w:val="24"/>
              </w:rPr>
              <w:t>过程设计</w:t>
            </w:r>
          </w:p>
          <w:p w14:paraId="18B02466">
            <w:pPr>
              <w:spacing w:before="285" w:line="222" w:lineRule="auto"/>
              <w:ind w:left="571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1"/>
                <w:sz w:val="24"/>
                <w:szCs w:val="24"/>
                <w14:textOutline w14:w="5105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说明：</w:t>
            </w:r>
            <w:r>
              <w:rPr>
                <w:rFonts w:hint="default" w:ascii="Times New Roman" w:hAnsi="Times New Roman" w:eastAsia="楷体" w:cs="Times New Roman"/>
                <w:spacing w:val="-1"/>
                <w:sz w:val="24"/>
                <w:szCs w:val="24"/>
              </w:rPr>
              <w:t>教学过程以</w:t>
            </w:r>
            <w:r>
              <w:rPr>
                <w:rFonts w:hint="default" w:ascii="Times New Roman" w:hAnsi="Times New Roman" w:eastAsia="楷体" w:cs="Times New Roman"/>
                <w:spacing w:val="-1"/>
                <w:sz w:val="24"/>
                <w:szCs w:val="24"/>
                <w14:textOutline w14:w="5105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课日</w:t>
            </w:r>
            <w:r>
              <w:rPr>
                <w:rFonts w:hint="default" w:ascii="Times New Roman" w:hAnsi="Times New Roman" w:eastAsia="楷体" w:cs="Times New Roman"/>
                <w:spacing w:val="-1"/>
                <w:sz w:val="24"/>
                <w:szCs w:val="24"/>
              </w:rPr>
              <w:t>为单位</w:t>
            </w:r>
            <w:r>
              <w:rPr>
                <w:rFonts w:hint="default" w:ascii="Times New Roman" w:hAnsi="Times New Roman" w:eastAsia="楷体" w:cs="Times New Roman"/>
                <w:sz w:val="24"/>
                <w:szCs w:val="24"/>
              </w:rPr>
              <w:t>填写。</w:t>
            </w:r>
          </w:p>
        </w:tc>
      </w:tr>
      <w:tr w14:paraId="5C76E5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2782" w:type="dxa"/>
            <w:vAlign w:val="center"/>
          </w:tcPr>
          <w:p w14:paraId="679F1664">
            <w:pPr>
              <w:keepNext w:val="0"/>
              <w:keepLines w:val="0"/>
              <w:widowControl/>
              <w:suppressLineNumbers w:val="0"/>
              <w:spacing w:after="30" w:afterAutospacing="0" w:line="180" w:lineRule="atLeast"/>
              <w:jc w:val="lef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</w:rPr>
              <w:t>教学环节</w:t>
            </w:r>
          </w:p>
        </w:tc>
        <w:tc>
          <w:tcPr>
            <w:tcW w:w="2777" w:type="dxa"/>
            <w:vAlign w:val="center"/>
          </w:tcPr>
          <w:p w14:paraId="64430356">
            <w:pPr>
              <w:keepNext w:val="0"/>
              <w:keepLines w:val="0"/>
              <w:widowControl/>
              <w:suppressLineNumbers w:val="0"/>
              <w:spacing w:after="30" w:afterAutospacing="0" w:line="180" w:lineRule="atLeast"/>
              <w:jc w:val="lef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</w:rPr>
              <w:t>学习内容</w:t>
            </w:r>
          </w:p>
        </w:tc>
        <w:tc>
          <w:tcPr>
            <w:tcW w:w="2777" w:type="dxa"/>
            <w:vAlign w:val="center"/>
          </w:tcPr>
          <w:p w14:paraId="39DF901E">
            <w:pPr>
              <w:keepNext w:val="0"/>
              <w:keepLines w:val="0"/>
              <w:widowControl/>
              <w:suppressLineNumbers w:val="0"/>
              <w:spacing w:after="30" w:afterAutospacing="0" w:line="180" w:lineRule="atLeast"/>
              <w:jc w:val="lef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</w:rPr>
              <w:t>学生活动</w:t>
            </w:r>
          </w:p>
        </w:tc>
        <w:tc>
          <w:tcPr>
            <w:tcW w:w="2777" w:type="dxa"/>
            <w:vAlign w:val="center"/>
          </w:tcPr>
          <w:p w14:paraId="303BED52">
            <w:pPr>
              <w:keepNext w:val="0"/>
              <w:keepLines w:val="0"/>
              <w:widowControl/>
              <w:suppressLineNumbers w:val="0"/>
              <w:spacing w:after="30" w:afterAutospacing="0" w:line="180" w:lineRule="atLeast"/>
              <w:jc w:val="lef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</w:rPr>
              <w:t>教师活动</w:t>
            </w:r>
          </w:p>
        </w:tc>
        <w:tc>
          <w:tcPr>
            <w:tcW w:w="2838" w:type="dxa"/>
            <w:vAlign w:val="center"/>
          </w:tcPr>
          <w:p w14:paraId="6CE1D888">
            <w:pPr>
              <w:keepNext w:val="0"/>
              <w:keepLines w:val="0"/>
              <w:widowControl/>
              <w:suppressLineNumbers w:val="0"/>
              <w:spacing w:after="30" w:afterAutospacing="0" w:line="180" w:lineRule="atLeast"/>
              <w:jc w:val="left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aps w:val="0"/>
                <w:snapToGrid w:val="0"/>
                <w:color w:val="000000"/>
                <w:spacing w:val="4"/>
                <w:kern w:val="0"/>
                <w:sz w:val="24"/>
                <w:szCs w:val="24"/>
                <w:lang w:val="en-US" w:eastAsia="zh-CN" w:bidi="ar"/>
              </w:rPr>
              <w:t>教学方法及设计意图</w:t>
            </w:r>
          </w:p>
        </w:tc>
      </w:tr>
      <w:tr w14:paraId="0CBFA9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8" w:hRule="atLeast"/>
        </w:trPr>
        <w:tc>
          <w:tcPr>
            <w:tcW w:w="2782" w:type="dxa"/>
            <w:vAlign w:val="center"/>
          </w:tcPr>
          <w:p>
            <w:r>
              <w:t>课前准备 (10分钟)</w:t>
            </w:r>
          </w:p>
        </w:tc>
        <w:tc>
          <w:tcPr>
            <w:tcW w:w="2777" w:type="dxa"/>
            <w:vAlign w:val="center"/>
          </w:tcPr>
          <w:p>
            <w:r>
              <w:t>检查实训室软件环境与设备</w:t>
            </w:r>
          </w:p>
        </w:tc>
        <w:tc>
          <w:tcPr>
            <w:tcW w:w="2777" w:type="dxa"/>
            <w:vAlign w:val="center"/>
          </w:tcPr>
          <w:p>
            <w:r>
              <w:t>1. 开启电脑，检查Webots快捷方式。</w:t>
              <w:br/>
              <w:t>2. 上交手机，准备进入实训状态。</w:t>
            </w:r>
          </w:p>
        </w:tc>
        <w:tc>
          <w:tcPr>
            <w:tcW w:w="2777" w:type="dxa"/>
            <w:vAlign w:val="center"/>
          </w:tcPr>
          <w:p>
            <w:r>
              <w:t>1. 检查互动体验区与创作研讨区设备。</w:t>
              <w:br/>
              <w:t>2. 强调机房用电安全与数字化规范。</w:t>
            </w:r>
          </w:p>
        </w:tc>
        <w:tc>
          <w:tcPr>
            <w:tcW w:w="2838" w:type="dxa"/>
            <w:vAlign w:val="center"/>
          </w:tcPr>
          <w:p>
            <w:r>
              <w:t>规范管理：建立工业级数字资产管理意识</w:t>
            </w:r>
          </w:p>
        </w:tc>
      </w:tr>
      <w:tr w14:paraId="110BA6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8" w:hRule="atLeast"/>
        </w:trPr>
        <w:tc>
          <w:tcPr>
            <w:tcW w:w="2782" w:type="dxa"/>
            <w:vAlign w:val="center"/>
          </w:tcPr>
          <w:p>
            <w:r>
              <w:t>情境导入 (20分钟)</w:t>
            </w:r>
          </w:p>
        </w:tc>
        <w:tc>
          <w:tcPr>
            <w:tcW w:w="2777" w:type="dxa"/>
            <w:vAlign w:val="center"/>
          </w:tcPr>
          <w:p>
            <w:r>
              <w:t>引入数字孪生与工业级仿真需求</w:t>
            </w:r>
          </w:p>
        </w:tc>
        <w:tc>
          <w:tcPr>
            <w:tcW w:w="2777" w:type="dxa"/>
            <w:vAlign w:val="center"/>
          </w:tcPr>
          <w:p>
            <w:r>
              <w:t>1. 观看真实工厂流水线的数字孪生案例。</w:t>
              <w:br/>
              <w:t>2. 思考仿真技术如何降低企业试错成本。</w:t>
            </w:r>
          </w:p>
        </w:tc>
        <w:tc>
          <w:tcPr>
            <w:tcW w:w="2777" w:type="dxa"/>
            <w:vAlign w:val="center"/>
          </w:tcPr>
          <w:p>
            <w:r>
              <w:t>1. 播放视频，展示AI赋能的真实场景。</w:t>
              <w:br/>
              <w:t>2. 提问引导，发布本次“环境搭建”任务。</w:t>
            </w:r>
          </w:p>
        </w:tc>
        <w:tc>
          <w:tcPr>
            <w:tcW w:w="2838" w:type="dxa"/>
            <w:vAlign w:val="center"/>
          </w:tcPr>
          <w:p>
            <w:r>
              <w:t>虚实结合：通过沉浸式体验激发职业兴趣</w:t>
            </w:r>
          </w:p>
        </w:tc>
      </w:tr>
      <w:tr w14:paraId="033509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9" w:hRule="atLeast"/>
        </w:trPr>
        <w:tc>
          <w:tcPr>
            <w:tcW w:w="2782" w:type="dxa"/>
            <w:vAlign w:val="center"/>
          </w:tcPr>
          <w:p>
            <w:r>
              <w:t>核心实操指导 (80分钟)</w:t>
            </w:r>
          </w:p>
        </w:tc>
        <w:tc>
          <w:tcPr>
            <w:tcW w:w="2777" w:type="dxa"/>
            <w:vAlign w:val="center"/>
          </w:tcPr>
          <w:p>
            <w:r>
              <w:t>基础物理节点（Nodes）配置实战</w:t>
            </w:r>
          </w:p>
        </w:tc>
        <w:tc>
          <w:tcPr>
            <w:tcW w:w="2777" w:type="dxa"/>
            <w:vAlign w:val="center"/>
          </w:tcPr>
          <w:p>
            <w:r>
              <w:t>1. 查阅文档，配置模型基础节点（如Solid）。</w:t>
              <w:br/>
              <w:t>2. 遭遇碰撞模型错误时，记录日志并排查。</w:t>
            </w:r>
          </w:p>
        </w:tc>
        <w:tc>
          <w:tcPr>
            <w:tcW w:w="2777" w:type="dxa"/>
            <w:vAlign w:val="center"/>
          </w:tcPr>
          <w:p>
            <w:r>
              <w:t>1. 演示节点添加方法，提醒层级嵌套关系。</w:t>
              <w:br/>
              <w:t>2. 巡视并对参数震荡、模型穿模等问题进行点拨。</w:t>
            </w:r>
          </w:p>
        </w:tc>
        <w:tc>
          <w:tcPr>
            <w:tcW w:w="2838" w:type="dxa"/>
            <w:vAlign w:val="center"/>
          </w:tcPr>
          <w:p>
            <w:r>
              <w:t>任务驱动：先动手验证再深入理解逻辑</w:t>
            </w:r>
          </w:p>
        </w:tc>
      </w:tr>
      <w:tr w14:paraId="0ABA9E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782" w:type="dxa"/>
          </w:tcPr>
          <w:p w14:paraId="3059FCB0">
            <w:pPr>
              <w:spacing w:before="266" w:line="223" w:lineRule="auto"/>
              <w:ind w:left="1126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8"/>
                <w:sz w:val="24"/>
                <w:szCs w:val="24"/>
              </w:rPr>
              <w:t>板书</w:t>
            </w:r>
          </w:p>
        </w:tc>
        <w:tc>
          <w:tcPr>
            <w:tcW w:w="11169" w:type="dxa"/>
            <w:gridSpan w:val="4"/>
          </w:tcPr>
          <w:p>
            <w:r>
              <w:t>【主板书】</w:t>
              <w:br/>
              <w:t>一、 Webots界面功能区划分</w:t>
              <w:br/>
              <w:t>二、 核心节点说明 (WorldInfo, Viewpoint)</w:t>
              <w:br/>
              <w:t>三、 控制器绑定流程 (Controller绑定 -&gt; 脚本编写 -&gt; 编译运行)</w:t>
            </w:r>
          </w:p>
        </w:tc>
      </w:tr>
      <w:tr w14:paraId="374796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782" w:type="dxa"/>
          </w:tcPr>
          <w:p w14:paraId="0DA59644">
            <w:pPr>
              <w:spacing w:before="311" w:line="221" w:lineRule="auto"/>
              <w:ind w:left="1132"/>
              <w:rPr>
                <w:rFonts w:hint="default" w:ascii="Times New Roman" w:hAnsi="Times New Roman" w:eastAsia="楷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楷体" w:cs="Times New Roman"/>
                <w:spacing w:val="-12"/>
                <w:sz w:val="24"/>
                <w:szCs w:val="24"/>
              </w:rPr>
              <w:t>作</w:t>
            </w:r>
            <w:r>
              <w:rPr>
                <w:rFonts w:hint="default" w:ascii="Times New Roman" w:hAnsi="Times New Roman" w:eastAsia="楷体" w:cs="Times New Roman"/>
                <w:spacing w:val="-10"/>
                <w:sz w:val="24"/>
                <w:szCs w:val="24"/>
              </w:rPr>
              <w:t>业</w:t>
            </w:r>
          </w:p>
        </w:tc>
        <w:tc>
          <w:tcPr>
            <w:tcW w:w="11169" w:type="dxa"/>
            <w:gridSpan w:val="4"/>
          </w:tcPr>
          <w:p>
            <w:r>
              <w:t>1. 完善数字资产归档，提交实验报告。</w:t>
              <w:br/>
              <w:t>2. 课后预习：查阅官方文档，了解什么是 ROS2 节点，思考它如何与 Webots 交互？</w:t>
            </w:r>
          </w:p>
        </w:tc>
      </w:tr>
    </w:tbl>
    <w:p w14:paraId="4106B7EC">
      <w:pPr>
        <w:spacing w:before="80" w:line="231" w:lineRule="auto"/>
      </w:pPr>
      <w:r>
        <w:rPr>
          <w:rFonts w:hint="eastAsia" w:ascii="仿宋" w:hAnsi="仿宋" w:eastAsia="仿宋" w:cs="仿宋"/>
          <w:spacing w:val="-4"/>
          <w:szCs w:val="24"/>
        </w:rPr>
        <w:t>注：表</w:t>
      </w:r>
      <w:r>
        <w:rPr>
          <w:rFonts w:hint="eastAsia" w:ascii="仿宋" w:hAnsi="仿宋" w:eastAsia="仿宋" w:cs="仿宋"/>
          <w:spacing w:val="-3"/>
          <w:szCs w:val="24"/>
        </w:rPr>
        <w:t>格</w:t>
      </w:r>
      <w:r>
        <w:rPr>
          <w:rFonts w:hint="eastAsia" w:ascii="仿宋" w:hAnsi="仿宋" w:eastAsia="仿宋" w:cs="仿宋"/>
          <w:spacing w:val="-2"/>
          <w:szCs w:val="24"/>
        </w:rPr>
        <w:t>可自行加行</w:t>
      </w:r>
    </w:p>
    <w:p w14:paraId="4DB78C20"/>
    <w:sectPr>
      <w:headerReference r:id="rId5" w:type="default"/>
      <w:footerReference r:id="rId6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ans-serif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CCE115">
    <w:pPr>
      <w:spacing w:line="180" w:lineRule="auto"/>
      <w:ind w:left="4635"/>
      <w:rPr>
        <w:rFonts w:hint="eastAsia" w:ascii="仿宋" w:hAnsi="仿宋" w:eastAsia="仿宋" w:cs="仿宋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1612A">
    <w:pPr>
      <w:spacing w:before="1" w:line="180" w:lineRule="auto"/>
      <w:rPr>
        <w:rFonts w:hint="eastAsia" w:ascii="仿宋" w:hAnsi="仿宋" w:eastAsia="仿宋" w:cs="仿宋"/>
        <w:sz w:val="28"/>
        <w:szCs w:val="2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EEF6A">
    <w:pPr>
      <w:pStyle w:val="6"/>
      <w:pBdr>
        <w:bottom w:val="single" w:color="auto" w:sz="4" w:space="1"/>
      </w:pBdr>
      <w:ind w:right="140"/>
      <w:jc w:val="center"/>
      <w:rPr>
        <w:rFonts w:eastAsia="宋体"/>
        <w:b/>
        <w:bCs/>
        <w:sz w:val="28"/>
      </w:rPr>
    </w:pPr>
    <w:r>
      <w:rPr>
        <w:rFonts w:hint="eastAsia" w:eastAsia="宋体"/>
        <w:b/>
        <w:bCs/>
        <w:sz w:val="28"/>
      </w:rPr>
      <w:t xml:space="preserve">                  </w:t>
    </w:r>
  </w:p>
  <w:p w14:paraId="646AD12A">
    <w:pPr>
      <w:pStyle w:val="6"/>
      <w:pBdr>
        <w:bottom w:val="single" w:color="auto" w:sz="4" w:space="1"/>
      </w:pBdr>
      <w:ind w:right="140"/>
      <w:jc w:val="center"/>
      <w:rPr>
        <w:rFonts w:eastAsia="宋体"/>
        <w:b/>
        <w:bCs/>
        <w:sz w:val="28"/>
      </w:rPr>
    </w:pPr>
  </w:p>
  <w:p w14:paraId="331BB284">
    <w:pPr>
      <w:pStyle w:val="6"/>
      <w:pBdr>
        <w:bottom w:val="single" w:color="auto" w:sz="4" w:space="1"/>
      </w:pBdr>
      <w:ind w:right="140"/>
      <w:jc w:val="center"/>
      <w:rPr>
        <w:b/>
        <w:bCs/>
        <w:sz w:val="21"/>
      </w:rPr>
    </w:pPr>
    <w:r>
      <w:rPr>
        <w:rFonts w:hint="eastAsia" w:ascii="仿宋" w:hAnsi="仿宋" w:eastAsia="仿宋" w:cs="仿宋"/>
        <w:b/>
        <w:bCs/>
        <w:sz w:val="32"/>
        <w:szCs w:val="32"/>
      </w:rPr>
      <w:t xml:space="preserve">广州市技师学院  </w:t>
    </w:r>
    <w:r>
      <w:rPr>
        <w:rFonts w:hint="eastAsia"/>
        <w:b/>
        <w:bCs/>
        <w:sz w:val="28"/>
      </w:rPr>
      <w:t xml:space="preserve">       </w:t>
    </w:r>
  </w:p>
  <w:p w14:paraId="13D2255B">
    <w:pPr>
      <w:pBdr>
        <w:bottom w:val="single" w:color="auto" w:sz="4" w:space="0"/>
      </w:pBdr>
      <w:tabs>
        <w:tab w:val="left" w:pos="345"/>
        <w:tab w:val="center" w:pos="4153"/>
      </w:tabs>
      <w:jc w:val="center"/>
      <w:rPr>
        <w:rFonts w:hint="eastAsia" w:ascii="仿宋" w:hAnsi="仿宋" w:eastAsia="仿宋" w:cs="仿宋"/>
        <w:spacing w:val="7"/>
        <w:sz w:val="28"/>
        <w:szCs w:val="28"/>
      </w:rPr>
    </w:pPr>
    <w:r>
      <w:rPr>
        <w:rFonts w:hint="eastAsia" w:ascii="仿宋" w:hAnsi="仿宋" w:eastAsia="仿宋" w:cs="仿宋"/>
        <w:spacing w:val="14"/>
        <w:sz w:val="28"/>
        <w:szCs w:val="28"/>
      </w:rPr>
      <w:t>专</w:t>
    </w:r>
    <w:r>
      <w:rPr>
        <w:rFonts w:hint="eastAsia" w:ascii="仿宋" w:hAnsi="仿宋" w:eastAsia="仿宋" w:cs="仿宋"/>
        <w:spacing w:val="13"/>
        <w:sz w:val="28"/>
        <w:szCs w:val="28"/>
      </w:rPr>
      <w:t>业</w:t>
    </w:r>
    <w:r>
      <w:rPr>
        <w:rFonts w:hint="eastAsia" w:ascii="仿宋" w:hAnsi="仿宋" w:eastAsia="仿宋" w:cs="仿宋"/>
        <w:spacing w:val="7"/>
        <w:sz w:val="28"/>
        <w:szCs w:val="28"/>
      </w:rPr>
      <w:t>核心课 (一体化课程) 教学设计</w:t>
    </w:r>
  </w:p>
  <w:p w14:paraId="4DAFDB53">
    <w:pPr>
      <w:pBdr>
        <w:bottom w:val="single" w:color="auto" w:sz="4" w:space="0"/>
      </w:pBdr>
      <w:tabs>
        <w:tab w:val="left" w:pos="345"/>
        <w:tab w:val="center" w:pos="4153"/>
      </w:tabs>
      <w:rPr>
        <w:rFonts w:eastAsia="宋体"/>
      </w:rPr>
    </w:pPr>
    <w:r>
      <w:rPr>
        <w:rFonts w:hint="eastAsia" w:ascii="宋体" w:hAnsi="宋体" w:eastAsia="宋体" w:cs="宋体"/>
      </w:rPr>
      <w:t>编号：QD-851b-15                          版本号：A/0                    流水号：HS-</w:t>
    </w:r>
  </w:p>
  <w:p w14:paraId="520234AB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BD33A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IxYjFiMzdmOTFkMTEwOTBkMmJkOTIzYjM4Y2ZkNDMifQ=="/>
    <w:docVar w:name="KSO_WPS_MARK_KEY" w:val="06cb7bc8-b866-4bcb-a71b-c2cdee7dfecf"/>
  </w:docVars>
  <w:rsids>
    <w:rsidRoot w:val="00172A27"/>
    <w:rsid w:val="000826B8"/>
    <w:rsid w:val="000E3C48"/>
    <w:rsid w:val="00107B40"/>
    <w:rsid w:val="00116D96"/>
    <w:rsid w:val="001F6E9B"/>
    <w:rsid w:val="0022699A"/>
    <w:rsid w:val="002C3F2A"/>
    <w:rsid w:val="00462ECC"/>
    <w:rsid w:val="0048044B"/>
    <w:rsid w:val="00484D73"/>
    <w:rsid w:val="004B63BB"/>
    <w:rsid w:val="00513A3B"/>
    <w:rsid w:val="005B56B0"/>
    <w:rsid w:val="00846D4C"/>
    <w:rsid w:val="008653A3"/>
    <w:rsid w:val="008723AD"/>
    <w:rsid w:val="00881FD7"/>
    <w:rsid w:val="008C6700"/>
    <w:rsid w:val="009A5B48"/>
    <w:rsid w:val="00A31459"/>
    <w:rsid w:val="00C4373B"/>
    <w:rsid w:val="00CA5870"/>
    <w:rsid w:val="00CC1103"/>
    <w:rsid w:val="00FD2829"/>
    <w:rsid w:val="00FE00D0"/>
    <w:rsid w:val="011E3EDF"/>
    <w:rsid w:val="022655F4"/>
    <w:rsid w:val="02902A6D"/>
    <w:rsid w:val="03E308CF"/>
    <w:rsid w:val="04313B8E"/>
    <w:rsid w:val="04C66C1A"/>
    <w:rsid w:val="05532FF3"/>
    <w:rsid w:val="05D50E69"/>
    <w:rsid w:val="05DF3444"/>
    <w:rsid w:val="08C42B9A"/>
    <w:rsid w:val="0906702E"/>
    <w:rsid w:val="0B8D5889"/>
    <w:rsid w:val="0CFB3A3C"/>
    <w:rsid w:val="0D2C3CDA"/>
    <w:rsid w:val="0E083E00"/>
    <w:rsid w:val="0E1F2FED"/>
    <w:rsid w:val="0F1A7F9C"/>
    <w:rsid w:val="0F317592"/>
    <w:rsid w:val="0F3E448E"/>
    <w:rsid w:val="0F657030"/>
    <w:rsid w:val="0FD152C3"/>
    <w:rsid w:val="10005765"/>
    <w:rsid w:val="10433815"/>
    <w:rsid w:val="10594DE6"/>
    <w:rsid w:val="11666092"/>
    <w:rsid w:val="121C7F54"/>
    <w:rsid w:val="13505D80"/>
    <w:rsid w:val="145C30F7"/>
    <w:rsid w:val="15A332E4"/>
    <w:rsid w:val="15B325C2"/>
    <w:rsid w:val="16506EFC"/>
    <w:rsid w:val="165362E2"/>
    <w:rsid w:val="16B33193"/>
    <w:rsid w:val="16D03928"/>
    <w:rsid w:val="186376BA"/>
    <w:rsid w:val="18A8690B"/>
    <w:rsid w:val="199529D7"/>
    <w:rsid w:val="199D3F96"/>
    <w:rsid w:val="199F22C1"/>
    <w:rsid w:val="19D83220"/>
    <w:rsid w:val="1D790876"/>
    <w:rsid w:val="1D9E208B"/>
    <w:rsid w:val="1ECE257A"/>
    <w:rsid w:val="1EFE27E8"/>
    <w:rsid w:val="2223038E"/>
    <w:rsid w:val="22246BA5"/>
    <w:rsid w:val="240F6CBB"/>
    <w:rsid w:val="24F10CB0"/>
    <w:rsid w:val="25150B6D"/>
    <w:rsid w:val="25951FC5"/>
    <w:rsid w:val="259E524E"/>
    <w:rsid w:val="27A04D10"/>
    <w:rsid w:val="29060B5B"/>
    <w:rsid w:val="29607B6F"/>
    <w:rsid w:val="29A13F86"/>
    <w:rsid w:val="2C083CA0"/>
    <w:rsid w:val="2CC8386B"/>
    <w:rsid w:val="2CFF087A"/>
    <w:rsid w:val="2E7B1F74"/>
    <w:rsid w:val="2F6A21CB"/>
    <w:rsid w:val="303E641E"/>
    <w:rsid w:val="305C19A4"/>
    <w:rsid w:val="30BF06E0"/>
    <w:rsid w:val="30CD5FBF"/>
    <w:rsid w:val="312E45C1"/>
    <w:rsid w:val="315A1151"/>
    <w:rsid w:val="32252FA8"/>
    <w:rsid w:val="3264344B"/>
    <w:rsid w:val="32C103D2"/>
    <w:rsid w:val="330A228D"/>
    <w:rsid w:val="333345C8"/>
    <w:rsid w:val="33354340"/>
    <w:rsid w:val="34E117C5"/>
    <w:rsid w:val="35CB558F"/>
    <w:rsid w:val="35E42AE9"/>
    <w:rsid w:val="35ED4CA4"/>
    <w:rsid w:val="36C140EB"/>
    <w:rsid w:val="38563836"/>
    <w:rsid w:val="390625E1"/>
    <w:rsid w:val="39731517"/>
    <w:rsid w:val="39BA2F33"/>
    <w:rsid w:val="3ACD3B57"/>
    <w:rsid w:val="3AEC11B5"/>
    <w:rsid w:val="3B49252D"/>
    <w:rsid w:val="3B65301D"/>
    <w:rsid w:val="3C951ED4"/>
    <w:rsid w:val="3E6F58B8"/>
    <w:rsid w:val="3EA57B03"/>
    <w:rsid w:val="3F1374E4"/>
    <w:rsid w:val="3F3E6DD2"/>
    <w:rsid w:val="3F54472A"/>
    <w:rsid w:val="3FD22EE6"/>
    <w:rsid w:val="40707791"/>
    <w:rsid w:val="40B94E9F"/>
    <w:rsid w:val="411A4C6D"/>
    <w:rsid w:val="412C782A"/>
    <w:rsid w:val="41350941"/>
    <w:rsid w:val="420520E8"/>
    <w:rsid w:val="42356CD0"/>
    <w:rsid w:val="437E443B"/>
    <w:rsid w:val="438B2D45"/>
    <w:rsid w:val="441C33F4"/>
    <w:rsid w:val="459879E9"/>
    <w:rsid w:val="463D6710"/>
    <w:rsid w:val="475E33E7"/>
    <w:rsid w:val="48873598"/>
    <w:rsid w:val="4A964E64"/>
    <w:rsid w:val="4AF24451"/>
    <w:rsid w:val="4C7D0BD6"/>
    <w:rsid w:val="4E4A7BBA"/>
    <w:rsid w:val="4E9E510F"/>
    <w:rsid w:val="4EB764F3"/>
    <w:rsid w:val="4FB86218"/>
    <w:rsid w:val="506B19F1"/>
    <w:rsid w:val="513D15DF"/>
    <w:rsid w:val="529C50BE"/>
    <w:rsid w:val="53D265D8"/>
    <w:rsid w:val="53FC1FC4"/>
    <w:rsid w:val="54EB459D"/>
    <w:rsid w:val="551A424F"/>
    <w:rsid w:val="55C431B1"/>
    <w:rsid w:val="56161678"/>
    <w:rsid w:val="569C7B41"/>
    <w:rsid w:val="57305A73"/>
    <w:rsid w:val="579E2F03"/>
    <w:rsid w:val="58D82CA1"/>
    <w:rsid w:val="5A9B04EE"/>
    <w:rsid w:val="5AF81E89"/>
    <w:rsid w:val="5AFC1A27"/>
    <w:rsid w:val="5B414376"/>
    <w:rsid w:val="5B4B7817"/>
    <w:rsid w:val="5BB36731"/>
    <w:rsid w:val="5C2A2760"/>
    <w:rsid w:val="5C782D67"/>
    <w:rsid w:val="5C960A81"/>
    <w:rsid w:val="5CE84959"/>
    <w:rsid w:val="5EAC38A1"/>
    <w:rsid w:val="5F394FAE"/>
    <w:rsid w:val="61AD7924"/>
    <w:rsid w:val="63594F88"/>
    <w:rsid w:val="642B3E68"/>
    <w:rsid w:val="645C2E5F"/>
    <w:rsid w:val="658C65C3"/>
    <w:rsid w:val="66A0434D"/>
    <w:rsid w:val="67452B44"/>
    <w:rsid w:val="688D0B2F"/>
    <w:rsid w:val="69540E1C"/>
    <w:rsid w:val="69C80CA0"/>
    <w:rsid w:val="69FA5CA3"/>
    <w:rsid w:val="6A2C7123"/>
    <w:rsid w:val="6AD60FC7"/>
    <w:rsid w:val="6B5D5C8E"/>
    <w:rsid w:val="6BC02799"/>
    <w:rsid w:val="6C670989"/>
    <w:rsid w:val="6D3E173B"/>
    <w:rsid w:val="6E100A73"/>
    <w:rsid w:val="6EA038CC"/>
    <w:rsid w:val="6EFB06E7"/>
    <w:rsid w:val="6FCF744E"/>
    <w:rsid w:val="700A5E6F"/>
    <w:rsid w:val="70610D41"/>
    <w:rsid w:val="71A16BC9"/>
    <w:rsid w:val="749D3FBF"/>
    <w:rsid w:val="74CD713E"/>
    <w:rsid w:val="768F567D"/>
    <w:rsid w:val="77660698"/>
    <w:rsid w:val="78EF2C3B"/>
    <w:rsid w:val="7A6335B5"/>
    <w:rsid w:val="7BAE5967"/>
    <w:rsid w:val="7BD801FE"/>
    <w:rsid w:val="7D284642"/>
    <w:rsid w:val="7D5A0C64"/>
    <w:rsid w:val="7D907770"/>
    <w:rsid w:val="7DFE08FE"/>
    <w:rsid w:val="7F27166A"/>
    <w:rsid w:val="7FC4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楷体" w:cs="Arial"/>
      <w:snapToGrid w:val="0"/>
      <w:color w:val="000000"/>
      <w:sz w:val="24"/>
      <w:szCs w:val="21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index 5"/>
    <w:next w:val="1"/>
    <w:qFormat/>
    <w:uiPriority w:val="0"/>
    <w:pPr>
      <w:kinsoku w:val="0"/>
      <w:autoSpaceDE w:val="0"/>
      <w:autoSpaceDN w:val="0"/>
      <w:adjustRightInd w:val="0"/>
      <w:snapToGrid w:val="0"/>
      <w:ind w:left="1680"/>
      <w:textAlignment w:val="baseline"/>
    </w:pPr>
    <w:rPr>
      <w:rFonts w:ascii="Arial" w:hAnsi="Arial" w:eastAsia="楷体" w:cs="Arial"/>
      <w:snapToGrid w:val="0"/>
      <w:color w:val="000000"/>
      <w:sz w:val="24"/>
      <w:szCs w:val="21"/>
      <w:lang w:val="en-US" w:eastAsia="zh-CN" w:bidi="ar-SA"/>
    </w:rPr>
  </w:style>
  <w:style w:type="paragraph" w:styleId="4">
    <w:name w:val="Body Text"/>
    <w:basedOn w:val="1"/>
    <w:semiHidden/>
    <w:unhideWhenUsed/>
    <w:qFormat/>
    <w:uiPriority w:val="99"/>
    <w:pPr>
      <w:spacing w:after="120"/>
    </w:p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7">
    <w:name w:val="Normal (Web)"/>
    <w:basedOn w:val="1"/>
    <w:qFormat/>
    <w:uiPriority w:val="0"/>
    <w:pPr>
      <w:spacing w:beforeAutospacing="1" w:afterAutospacing="1"/>
    </w:pPr>
    <w:rPr>
      <w:rFonts w:cs="Times New Roman"/>
    </w:rPr>
  </w:style>
  <w:style w:type="paragraph" w:styleId="8">
    <w:name w:val="Body Text First Indent"/>
    <w:basedOn w:val="4"/>
    <w:semiHidden/>
    <w:unhideWhenUsed/>
    <w:qFormat/>
    <w:uiPriority w:val="99"/>
    <w:pPr>
      <w:ind w:firstLine="420" w:firstLineChars="100"/>
    </w:pPr>
  </w:style>
  <w:style w:type="character" w:styleId="11">
    <w:name w:val="Strong"/>
    <w:basedOn w:val="10"/>
    <w:qFormat/>
    <w:uiPriority w:val="0"/>
    <w:rPr>
      <w:b/>
    </w:r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3">
    <w:name w:val="页脚 字符"/>
    <w:basedOn w:val="10"/>
    <w:link w:val="5"/>
    <w:qFormat/>
    <w:uiPriority w:val="0"/>
    <w:rPr>
      <w:rFonts w:ascii="Arial" w:hAnsi="Arial" w:eastAsia="楷体" w:cs="Arial"/>
      <w:snapToGrid w:val="0"/>
      <w:color w:val="000000"/>
      <w:sz w:val="18"/>
      <w:szCs w:val="18"/>
    </w:rPr>
  </w:style>
  <w:style w:type="character" w:customStyle="1" w:styleId="14">
    <w:name w:val="font21"/>
    <w:basedOn w:val="10"/>
    <w:qFormat/>
    <w:uiPriority w:val="0"/>
    <w:rPr>
      <w:rFonts w:hint="default" w:ascii="Arial" w:hAnsi="Arial" w:cs="Arial"/>
      <w:color w:val="1F1F1F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4963</Words>
  <Characters>5481</Characters>
  <Lines>31</Lines>
  <Paragraphs>8</Paragraphs>
  <TotalTime>1</TotalTime>
  <ScaleCrop>false</ScaleCrop>
  <LinksUpToDate>false</LinksUpToDate>
  <CharactersWithSpaces>5808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2023-07-04T07:03:00Z</dcterms:created>
  <dc:creator>Snail</dc:creator>
  <cp:lastModifiedBy>22903</cp:lastModifiedBy>
  <dcterms:modified xsi:type="dcterms:W3CDTF">2026-03-25T02:34:34Z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0954F74B58204A04A01E6B92875CA383_13</vt:lpwstr>
  </property>
  <property fmtid="{D5CDD505-2E9C-101B-9397-08002B2CF9AE}" pid="4" name="KSOTemplateDocerSaveRecord">
    <vt:lpwstr>eyJoZGlkIjoiMDljYzUzMWQ4OWI0YzBkYjYzMDRhZTY5ZjZkYmFmYTgiLCJ1c2VySWQiOiIyMjE3MzU0NjUifQ==</vt:lpwstr>
  </property>
</Properties>
</file>