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1A131">
      <w:pPr>
        <w:spacing w:before="3000"/>
      </w:pPr>
    </w:p>
    <w:p w14:paraId="51BDD1B7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52"/>
          <w:szCs w:val="52"/>
        </w:rPr>
        <w:t>集群协同控制调研报告</w:t>
      </w:r>
    </w:p>
    <w:p w14:paraId="4051C022">
      <w:pPr>
        <w:spacing w:after="600"/>
        <w:jc w:val="center"/>
      </w:pPr>
      <w:r>
        <w:rPr>
          <w:rFonts w:ascii="微软雅黑" w:hAnsi="微软雅黑" w:eastAsia="微软雅黑" w:cs="微软雅黑"/>
          <w:color w:val="555555"/>
          <w:sz w:val="28"/>
          <w:szCs w:val="28"/>
        </w:rPr>
        <w:t>—— 背景、方法、应用及与线控底盘方向的结合点</w:t>
      </w:r>
    </w:p>
    <w:p w14:paraId="73CFF184">
      <w:pPr>
        <w:spacing w:after="120"/>
        <w:jc w:val="center"/>
      </w:pPr>
      <w:r>
        <w:rPr>
          <w:rFonts w:ascii="宋体" w:hAnsi="宋体" w:eastAsia="宋体" w:cs="宋体"/>
          <w:color w:val="888888"/>
          <w:sz w:val="24"/>
          <w:szCs w:val="24"/>
        </w:rPr>
        <w:t>2026年5月</w:t>
      </w:r>
    </w:p>
    <w:p w14:paraId="62AFF634">
      <w:r>
        <w:br w:type="page"/>
      </w:r>
    </w:p>
    <w:p w14:paraId="2B679ED6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一、什么是集群协同控制</w:t>
      </w:r>
    </w:p>
    <w:p w14:paraId="6126F4FB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1.1 核心定义</w:t>
      </w:r>
    </w:p>
    <w:p w14:paraId="06781A97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集群协同控制（Swarm / Cluster Cooperative Control）是指：多个智能体（Agent）之间通过局部有限邻居信息交互，以分布式方式完成复杂的协同行为，实现 1+1 &gt; 2 的整体任务效能提升。</w:t>
      </w:r>
    </w:p>
    <w:p w14:paraId="022F125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「协同」被定义为“集群系统执行任务和智能涌现的保障与途径”。</w:t>
      </w:r>
    </w:p>
    <w:p w14:paraId="0C3854D7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1.2 集群系统建模三要素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1"/>
        <w:gridCol w:w="6595"/>
      </w:tblGrid>
      <w:tr w14:paraId="4DC5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7BFE63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要素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161AA6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0248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AD3071A">
            <w:r>
              <w:rPr>
                <w:rFonts w:ascii="宋体" w:hAnsi="宋体" w:eastAsia="宋体" w:cs="宋体"/>
                <w:sz w:val="20"/>
                <w:szCs w:val="20"/>
              </w:rPr>
              <w:t>智能体 (Agent)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37362F">
            <w:r>
              <w:rPr>
                <w:rFonts w:ascii="宋体" w:hAnsi="宋体" w:eastAsia="宋体" w:cs="宋体"/>
                <w:sz w:val="20"/>
                <w:szCs w:val="20"/>
              </w:rPr>
              <w:t>构成集群的基本单元，如无人机、无人车、无人艇、压路机、拖拉机等</w:t>
            </w:r>
          </w:p>
        </w:tc>
      </w:tr>
      <w:tr w14:paraId="468E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36F9B51C">
            <w:r>
              <w:rPr>
                <w:rFonts w:ascii="宋体" w:hAnsi="宋体" w:eastAsia="宋体" w:cs="宋体"/>
                <w:sz w:val="20"/>
                <w:szCs w:val="20"/>
              </w:rPr>
              <w:t>交互方式 (Interaction)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5297C11D">
            <w:r>
              <w:rPr>
                <w:rFonts w:ascii="宋体" w:hAnsi="宋体" w:eastAsia="宋体" w:cs="宋体"/>
                <w:sz w:val="20"/>
                <w:szCs w:val="20"/>
              </w:rPr>
              <w:t>智能体间的信息传输拓扑关系（谁跟谁通信、怎么组网）</w:t>
            </w:r>
          </w:p>
        </w:tc>
      </w:tr>
      <w:tr w14:paraId="2269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F1DA6D1">
            <w:r>
              <w:rPr>
                <w:rFonts w:ascii="宋体" w:hAnsi="宋体" w:eastAsia="宋体" w:cs="宋体"/>
                <w:sz w:val="20"/>
                <w:szCs w:val="20"/>
              </w:rPr>
              <w:t>行为规则 (Behavior Rules)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44918A">
            <w:r>
              <w:rPr>
                <w:rFonts w:ascii="宋体" w:hAnsi="宋体" w:eastAsia="宋体" w:cs="宋体"/>
                <w:sz w:val="20"/>
                <w:szCs w:val="20"/>
              </w:rPr>
              <w:t>智能体收到交互信息后的反应规律（协同控制律的生成规则）</w:t>
            </w:r>
          </w:p>
        </w:tc>
      </w:tr>
    </w:tbl>
    <w:p w14:paraId="189A253D">
      <w:pPr>
        <w:spacing w:after="120"/>
      </w:pPr>
    </w:p>
    <w:p w14:paraId="1956C481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1.3 智能涌现的四个特征</w:t>
      </w:r>
    </w:p>
    <w:p w14:paraId="53BF799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1. 自主性 —— 不依赖中心节点/服务器，自主完成任务</w:t>
      </w:r>
    </w:p>
    <w:p w14:paraId="41D113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2. 协同性 —— 通过局部交互协调合作</w:t>
      </w:r>
    </w:p>
    <w:p w14:paraId="7C88926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3. 扩展性 —— 智能体增减时弹性自适应（大规模可拓展）</w:t>
      </w:r>
    </w:p>
    <w:p w14:paraId="3BA7B7E6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4. 涌现性 —— 宏观行为实现单个智能体能力的非线性增强（1+1&gt;2）</w:t>
      </w:r>
    </w:p>
    <w:p w14:paraId="561A7C80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二、控制架构</w:t>
      </w:r>
    </w:p>
    <w:p w14:paraId="3B05D219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2.1 三大经典架构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7"/>
        <w:gridCol w:w="1933"/>
        <w:gridCol w:w="1454"/>
        <w:gridCol w:w="1933"/>
        <w:gridCol w:w="2569"/>
      </w:tblGrid>
      <w:tr w14:paraId="0238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3D0450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架构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061844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原理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2EF669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优点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71D96B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缺点</w:t>
            </w:r>
          </w:p>
        </w:tc>
        <w:tc>
          <w:tcPr>
            <w:tcW w:w="2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66EBF3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23818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C622FC">
            <w:r>
              <w:rPr>
                <w:rFonts w:ascii="宋体" w:hAnsi="宋体" w:eastAsia="宋体" w:cs="宋体"/>
                <w:sz w:val="20"/>
                <w:szCs w:val="20"/>
              </w:rPr>
              <w:t>集中式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7CBECF">
            <w:r>
              <w:rPr>
                <w:rFonts w:ascii="宋体" w:hAnsi="宋体" w:eastAsia="宋体" w:cs="宋体"/>
                <w:sz w:val="20"/>
                <w:szCs w:val="20"/>
              </w:rPr>
              <w:t>中央控制器收集全局信息，统一优化下发指令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4137A4">
            <w:r>
              <w:rPr>
                <w:rFonts w:ascii="宋体" w:hAnsi="宋体" w:eastAsia="宋体" w:cs="宋体"/>
                <w:sz w:val="20"/>
                <w:szCs w:val="20"/>
              </w:rPr>
              <w:t>全局最优性好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4540D05">
            <w:r>
              <w:rPr>
                <w:rFonts w:ascii="宋体" w:hAnsi="宋体" w:eastAsia="宋体" w:cs="宋体"/>
                <w:sz w:val="20"/>
                <w:szCs w:val="20"/>
              </w:rPr>
              <w:t>单点故障风险，计算通信压力大</w:t>
            </w:r>
          </w:p>
        </w:tc>
        <w:tc>
          <w:tcPr>
            <w:tcW w:w="2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26BF660">
            <w:r>
              <w:rPr>
                <w:rFonts w:ascii="宋体" w:hAnsi="宋体" w:eastAsia="宋体" w:cs="宋体"/>
                <w:sz w:val="20"/>
                <w:szCs w:val="20"/>
              </w:rPr>
              <w:t>结构固定、任务明确（如车间AGV）</w:t>
            </w:r>
          </w:p>
        </w:tc>
      </w:tr>
      <w:tr w14:paraId="0B38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DF4595B">
            <w:r>
              <w:rPr>
                <w:rFonts w:ascii="宋体" w:hAnsi="宋体" w:eastAsia="宋体" w:cs="宋体"/>
                <w:sz w:val="20"/>
                <w:szCs w:val="20"/>
              </w:rPr>
              <w:t>分布式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0AF55DD">
            <w:r>
              <w:rPr>
                <w:rFonts w:ascii="宋体" w:hAnsi="宋体" w:eastAsia="宋体" w:cs="宋体"/>
                <w:sz w:val="20"/>
                <w:szCs w:val="20"/>
              </w:rPr>
              <w:t>各智能体基于自身传感器 + 邻居通信自主决策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3539080F">
            <w:r>
              <w:rPr>
                <w:rFonts w:ascii="宋体" w:hAnsi="宋体" w:eastAsia="宋体" w:cs="宋体"/>
                <w:sz w:val="20"/>
                <w:szCs w:val="20"/>
              </w:rPr>
              <w:t>鲁棒性强、可扩展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51AFBDAE">
            <w:r>
              <w:rPr>
                <w:rFonts w:ascii="宋体" w:hAnsi="宋体" w:eastAsia="宋体" w:cs="宋体"/>
                <w:sz w:val="20"/>
                <w:szCs w:val="20"/>
              </w:rPr>
              <w:t>设计复杂，难保全局最优</w:t>
            </w:r>
          </w:p>
        </w:tc>
        <w:tc>
          <w:tcPr>
            <w:tcW w:w="2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61993DB">
            <w:r>
              <w:rPr>
                <w:rFonts w:ascii="宋体" w:hAnsi="宋体" w:eastAsia="宋体" w:cs="宋体"/>
                <w:sz w:val="20"/>
                <w:szCs w:val="20"/>
              </w:rPr>
              <w:t>动态不确定环境（无人机集群、农机编队）</w:t>
            </w:r>
          </w:p>
        </w:tc>
      </w:tr>
      <w:tr w14:paraId="0D8F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6387BD">
            <w:r>
              <w:rPr>
                <w:rFonts w:ascii="宋体" w:hAnsi="宋体" w:eastAsia="宋体" w:cs="宋体"/>
                <w:sz w:val="20"/>
                <w:szCs w:val="20"/>
              </w:rPr>
              <w:t>混合式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21EB753">
            <w:r>
              <w:rPr>
                <w:rFonts w:ascii="宋体" w:hAnsi="宋体" w:eastAsia="宋体" w:cs="宋体"/>
                <w:sz w:val="20"/>
                <w:szCs w:val="20"/>
              </w:rPr>
              <w:t>上层协调器做宏观调度，下层保持自主协同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D77B5F">
            <w:r>
              <w:rPr>
                <w:rFonts w:ascii="宋体" w:hAnsi="宋体" w:eastAsia="宋体" w:cs="宋体"/>
                <w:sz w:val="20"/>
                <w:szCs w:val="20"/>
              </w:rPr>
              <w:t>兼具两者优点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441EEC">
            <w:r>
              <w:rPr>
                <w:rFonts w:ascii="宋体" w:hAnsi="宋体" w:eastAsia="宋体" w:cs="宋体"/>
                <w:sz w:val="20"/>
                <w:szCs w:val="20"/>
              </w:rPr>
              <w:t>设计复杂度中等</w:t>
            </w:r>
          </w:p>
        </w:tc>
        <w:tc>
          <w:tcPr>
            <w:tcW w:w="2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97E114">
            <w:r>
              <w:rPr>
                <w:rFonts w:ascii="宋体" w:hAnsi="宋体" w:eastAsia="宋体" w:cs="宋体"/>
                <w:sz w:val="20"/>
                <w:szCs w:val="20"/>
              </w:rPr>
              <w:t>当前工业应用最实用的方案</w:t>
            </w:r>
          </w:p>
        </w:tc>
      </w:tr>
    </w:tbl>
    <w:p w14:paraId="1A55BC58">
      <w:pPr>
        <w:spacing w:after="120"/>
      </w:pPr>
    </w:p>
    <w:p w14:paraId="397B497D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2.2 前沿架构：IOODA 体系</w:t>
      </w:r>
    </w:p>
    <w:p w14:paraId="74B95DB4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在传统 OODA（观察-判断-决策-执行）基础上加入交互 (Interaction) 要素：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0"/>
        <w:gridCol w:w="4248"/>
        <w:gridCol w:w="2478"/>
      </w:tblGrid>
      <w:tr w14:paraId="568E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107F84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4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28E4CD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726042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类比</w:t>
            </w:r>
          </w:p>
        </w:tc>
      </w:tr>
      <w:tr w14:paraId="06FF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092DF6B">
            <w:r>
              <w:rPr>
                <w:rFonts w:ascii="宋体" w:hAnsi="宋体" w:eastAsia="宋体" w:cs="宋体"/>
                <w:sz w:val="20"/>
                <w:szCs w:val="20"/>
              </w:rPr>
              <w:t>自组织交互 (I)</w:t>
            </w:r>
          </w:p>
        </w:tc>
        <w:tc>
          <w:tcPr>
            <w:tcW w:w="4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0AED95">
            <w:r>
              <w:rPr>
                <w:rFonts w:ascii="宋体" w:hAnsi="宋体" w:eastAsia="宋体" w:cs="宋体"/>
                <w:sz w:val="20"/>
                <w:szCs w:val="20"/>
              </w:rPr>
              <w:t>智能体间信息交互与智能协商</w:t>
            </w:r>
          </w:p>
        </w:tc>
        <w:tc>
          <w:tcPr>
            <w:tcW w:w="2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66A529">
            <w:r>
              <w:rPr>
                <w:rFonts w:ascii="宋体" w:hAnsi="宋体" w:eastAsia="宋体" w:cs="宋体"/>
                <w:sz w:val="20"/>
                <w:szCs w:val="20"/>
              </w:rPr>
              <w:t>人的“神经系统”</w:t>
            </w:r>
          </w:p>
        </w:tc>
      </w:tr>
      <w:tr w14:paraId="653D7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6858853C">
            <w:r>
              <w:rPr>
                <w:rFonts w:ascii="宋体" w:hAnsi="宋体" w:eastAsia="宋体" w:cs="宋体"/>
                <w:sz w:val="20"/>
                <w:szCs w:val="20"/>
              </w:rPr>
              <w:t>协同感知 (O)</w:t>
            </w:r>
          </w:p>
        </w:tc>
        <w:tc>
          <w:tcPr>
            <w:tcW w:w="4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78DA10C6">
            <w:r>
              <w:rPr>
                <w:rFonts w:ascii="宋体" w:hAnsi="宋体" w:eastAsia="宋体" w:cs="宋体"/>
                <w:sz w:val="20"/>
                <w:szCs w:val="20"/>
              </w:rPr>
              <w:t>环境感知、目标跟踪、相对导航定位</w:t>
            </w:r>
          </w:p>
        </w:tc>
        <w:tc>
          <w:tcPr>
            <w:tcW w:w="2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65722893">
            <w:r>
              <w:rPr>
                <w:rFonts w:ascii="宋体" w:hAnsi="宋体" w:eastAsia="宋体" w:cs="宋体"/>
                <w:sz w:val="20"/>
                <w:szCs w:val="20"/>
              </w:rPr>
              <w:t>人的“眼睛”</w:t>
            </w:r>
          </w:p>
        </w:tc>
      </w:tr>
      <w:tr w14:paraId="0681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E422D43">
            <w:r>
              <w:rPr>
                <w:rFonts w:ascii="宋体" w:hAnsi="宋体" w:eastAsia="宋体" w:cs="宋体"/>
                <w:sz w:val="20"/>
                <w:szCs w:val="20"/>
              </w:rPr>
              <w:t>协同认知 (O)</w:t>
            </w:r>
          </w:p>
        </w:tc>
        <w:tc>
          <w:tcPr>
            <w:tcW w:w="4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5870A27">
            <w:r>
              <w:rPr>
                <w:rFonts w:ascii="宋体" w:hAnsi="宋体" w:eastAsia="宋体" w:cs="宋体"/>
                <w:sz w:val="20"/>
                <w:szCs w:val="20"/>
              </w:rPr>
              <w:t>态势判断与预测、全局认知</w:t>
            </w:r>
          </w:p>
        </w:tc>
        <w:tc>
          <w:tcPr>
            <w:tcW w:w="2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6D699B4">
            <w:r>
              <w:rPr>
                <w:rFonts w:ascii="宋体" w:hAnsi="宋体" w:eastAsia="宋体" w:cs="宋体"/>
                <w:sz w:val="20"/>
                <w:szCs w:val="20"/>
              </w:rPr>
              <w:t>人的“认知大脑”</w:t>
            </w:r>
          </w:p>
        </w:tc>
      </w:tr>
      <w:tr w14:paraId="48FC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1F833A27">
            <w:r>
              <w:rPr>
                <w:rFonts w:ascii="宋体" w:hAnsi="宋体" w:eastAsia="宋体" w:cs="宋体"/>
                <w:sz w:val="20"/>
                <w:szCs w:val="20"/>
              </w:rPr>
              <w:t>协同决策规划 (D)</w:t>
            </w:r>
          </w:p>
        </w:tc>
        <w:tc>
          <w:tcPr>
            <w:tcW w:w="4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6DBB6F52">
            <w:r>
              <w:rPr>
                <w:rFonts w:ascii="宋体" w:hAnsi="宋体" w:eastAsia="宋体" w:cs="宋体"/>
                <w:sz w:val="20"/>
                <w:szCs w:val="20"/>
              </w:rPr>
              <w:t>任务分解、分配、轨迹规划</w:t>
            </w:r>
          </w:p>
        </w:tc>
        <w:tc>
          <w:tcPr>
            <w:tcW w:w="2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67F7D20F">
            <w:r>
              <w:rPr>
                <w:rFonts w:ascii="宋体" w:hAnsi="宋体" w:eastAsia="宋体" w:cs="宋体"/>
                <w:sz w:val="20"/>
                <w:szCs w:val="20"/>
              </w:rPr>
              <w:t>人的“决策大脑”</w:t>
            </w:r>
          </w:p>
        </w:tc>
      </w:tr>
      <w:tr w14:paraId="65500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A5DBAA">
            <w:r>
              <w:rPr>
                <w:rFonts w:ascii="宋体" w:hAnsi="宋体" w:eastAsia="宋体" w:cs="宋体"/>
                <w:sz w:val="20"/>
                <w:szCs w:val="20"/>
              </w:rPr>
              <w:t>协同制导控制 (A)</w:t>
            </w:r>
          </w:p>
        </w:tc>
        <w:tc>
          <w:tcPr>
            <w:tcW w:w="4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D3333E">
            <w:r>
              <w:rPr>
                <w:rFonts w:ascii="宋体" w:hAnsi="宋体" w:eastAsia="宋体" w:cs="宋体"/>
                <w:sz w:val="20"/>
                <w:szCs w:val="20"/>
              </w:rPr>
              <w:t>宏观运动控制与执行</w:t>
            </w:r>
          </w:p>
        </w:tc>
        <w:tc>
          <w:tcPr>
            <w:tcW w:w="2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CD88C2">
            <w:r>
              <w:rPr>
                <w:rFonts w:ascii="宋体" w:hAnsi="宋体" w:eastAsia="宋体" w:cs="宋体"/>
                <w:sz w:val="20"/>
                <w:szCs w:val="20"/>
              </w:rPr>
              <w:t>人的“小脑”和“肌肉”</w:t>
            </w:r>
          </w:p>
        </w:tc>
      </w:tr>
    </w:tbl>
    <w:p w14:paraId="489ADEE0">
      <w:pPr>
        <w:spacing w:after="120"/>
      </w:pPr>
    </w:p>
    <w:p w14:paraId="6C831FE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三、实现方法与关键技术</w:t>
      </w:r>
    </w:p>
    <w:p w14:paraId="6DCF01D1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3.1 五大核心算法方向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2"/>
        <w:gridCol w:w="3738"/>
        <w:gridCol w:w="3376"/>
      </w:tblGrid>
      <w:tr w14:paraId="1FCE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37728D2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方向</w:t>
            </w:r>
          </w:p>
        </w:tc>
        <w:tc>
          <w:tcPr>
            <w:tcW w:w="3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54C108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7D0AA73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核心思想</w:t>
            </w:r>
          </w:p>
        </w:tc>
      </w:tr>
      <w:tr w14:paraId="74B9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8533419">
            <w:r>
              <w:rPr>
                <w:rFonts w:ascii="宋体" w:hAnsi="宋体" w:eastAsia="宋体" w:cs="宋体"/>
                <w:sz w:val="20"/>
                <w:szCs w:val="20"/>
              </w:rPr>
              <w:t>一致性算法</w:t>
            </w:r>
          </w:p>
        </w:tc>
        <w:tc>
          <w:tcPr>
            <w:tcW w:w="3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5233B4">
            <w:r>
              <w:rPr>
                <w:rFonts w:ascii="宋体" w:hAnsi="宋体" w:eastAsia="宋体" w:cs="宋体"/>
                <w:sz w:val="20"/>
                <w:szCs w:val="20"/>
              </w:rPr>
              <w:t>Leader-Follower 一致性、无领导者一致性、二分一致性、固定/有限时间一致性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5DA2F7A">
            <w:r>
              <w:rPr>
                <w:rFonts w:ascii="宋体" w:hAnsi="宋体" w:eastAsia="宋体" w:cs="宋体"/>
                <w:sz w:val="20"/>
                <w:szCs w:val="20"/>
              </w:rPr>
              <w:t>所有智能体收敛到共同状态</w:t>
            </w:r>
          </w:p>
        </w:tc>
      </w:tr>
      <w:tr w14:paraId="6D97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07231D61">
            <w:r>
              <w:rPr>
                <w:rFonts w:ascii="宋体" w:hAnsi="宋体" w:eastAsia="宋体" w:cs="宋体"/>
                <w:sz w:val="20"/>
                <w:szCs w:val="20"/>
              </w:rPr>
              <w:t>编队控制</w:t>
            </w:r>
          </w:p>
        </w:tc>
        <w:tc>
          <w:tcPr>
            <w:tcW w:w="3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3E85BB8">
            <w:r>
              <w:rPr>
                <w:rFonts w:ascii="宋体" w:hAnsi="宋体" w:eastAsia="宋体" w:cs="宋体"/>
                <w:sz w:val="20"/>
                <w:szCs w:val="20"/>
              </w:rPr>
              <w:t>领航-跟随法、虚拟结构法、行为法、人工势场法、仿射编队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500E2977">
            <w:r>
              <w:rPr>
                <w:rFonts w:ascii="宋体" w:hAnsi="宋体" w:eastAsia="宋体" w:cs="宋体"/>
                <w:sz w:val="20"/>
                <w:szCs w:val="20"/>
              </w:rPr>
              <w:t>维持预定义的几何队形</w:t>
            </w:r>
          </w:p>
        </w:tc>
      </w:tr>
      <w:tr w14:paraId="1809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4DC0C1">
            <w:r>
              <w:rPr>
                <w:rFonts w:ascii="宋体" w:hAnsi="宋体" w:eastAsia="宋体" w:cs="宋体"/>
                <w:sz w:val="20"/>
                <w:szCs w:val="20"/>
              </w:rPr>
              <w:t>分布式优化</w:t>
            </w:r>
          </w:p>
        </w:tc>
        <w:tc>
          <w:tcPr>
            <w:tcW w:w="3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2EE77F6">
            <w:r>
              <w:rPr>
                <w:rFonts w:ascii="宋体" w:hAnsi="宋体" w:eastAsia="宋体" w:cs="宋体"/>
                <w:sz w:val="20"/>
                <w:szCs w:val="20"/>
              </w:rPr>
              <w:t>分布式 MPC、分布式梯度下降、凸优化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CDA7B01">
            <w:r>
              <w:rPr>
                <w:rFonts w:ascii="宋体" w:hAnsi="宋体" w:eastAsia="宋体" w:cs="宋体"/>
                <w:sz w:val="20"/>
                <w:szCs w:val="20"/>
              </w:rPr>
              <w:t>仅用局部信息实现全局最优目标</w:t>
            </w:r>
          </w:p>
        </w:tc>
      </w:tr>
      <w:tr w14:paraId="3DD8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2C0478BA">
            <w:r>
              <w:rPr>
                <w:rFonts w:ascii="宋体" w:hAnsi="宋体" w:eastAsia="宋体" w:cs="宋体"/>
                <w:sz w:val="20"/>
                <w:szCs w:val="20"/>
              </w:rPr>
              <w:t>AI/学习类</w:t>
            </w:r>
          </w:p>
        </w:tc>
        <w:tc>
          <w:tcPr>
            <w:tcW w:w="3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4998475">
            <w:r>
              <w:rPr>
                <w:rFonts w:ascii="宋体" w:hAnsi="宋体" w:eastAsia="宋体" w:cs="宋体"/>
                <w:sz w:val="20"/>
                <w:szCs w:val="20"/>
              </w:rPr>
              <w:t>深度强化学习 (DRL)、RBF 神经网络、迭代学习控制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735954F">
            <w:r>
              <w:rPr>
                <w:rFonts w:ascii="宋体" w:hAnsi="宋体" w:eastAsia="宋体" w:cs="宋体"/>
                <w:sz w:val="20"/>
                <w:szCs w:val="20"/>
              </w:rPr>
              <w:t>数据驱动，适应复杂非线性环境</w:t>
            </w:r>
          </w:p>
        </w:tc>
      </w:tr>
      <w:tr w14:paraId="6AC8F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9BE6644">
            <w:r>
              <w:rPr>
                <w:rFonts w:ascii="宋体" w:hAnsi="宋体" w:eastAsia="宋体" w:cs="宋体"/>
                <w:sz w:val="20"/>
                <w:szCs w:val="20"/>
              </w:rPr>
              <w:t>事件触发控制</w:t>
            </w:r>
          </w:p>
        </w:tc>
        <w:tc>
          <w:tcPr>
            <w:tcW w:w="3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EB851B4">
            <w:r>
              <w:rPr>
                <w:rFonts w:ascii="宋体" w:hAnsi="宋体" w:eastAsia="宋体" w:cs="宋体"/>
                <w:sz w:val="20"/>
                <w:szCs w:val="20"/>
              </w:rPr>
              <w:t>仅在必要时通信/更新控制量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E45E869">
            <w:r>
              <w:rPr>
                <w:rFonts w:ascii="宋体" w:hAnsi="宋体" w:eastAsia="宋体" w:cs="宋体"/>
                <w:sz w:val="20"/>
                <w:szCs w:val="20"/>
              </w:rPr>
              <w:t>降低通信和计算负担</w:t>
            </w:r>
          </w:p>
        </w:tc>
      </w:tr>
    </w:tbl>
    <w:p w14:paraId="03596D65">
      <w:pPr>
        <w:spacing w:after="120"/>
      </w:pPr>
    </w:p>
    <w:p w14:paraId="6EC0C7B6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3.2 关键支撑技术</w:t>
      </w:r>
    </w:p>
    <w:p w14:paraId="4DA14834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通信组网：V2V / V2X 通信、IEEE 1588 精确时钟同步、TSN 时间敏感网络</w:t>
      </w:r>
    </w:p>
    <w:p w14:paraId="390A85CE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高精度定位：北斗 RTK（厘米级）、UWB（卫星不可用场景）</w:t>
      </w:r>
    </w:p>
    <w:p w14:paraId="59FCCB06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协同感知：多传感器融合（激光雷达 + 视觉 + 毫米波）、红外热成像</w:t>
      </w:r>
    </w:p>
    <w:p w14:paraId="349E3C3F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避障与安全：人工势场法、MPC 约束避障、SOTIF 预期功能安全</w:t>
      </w:r>
    </w:p>
    <w:p w14:paraId="2481E61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容错机制：通信中断下的优雅退化、动态拓扑重配置</w:t>
      </w:r>
    </w:p>
    <w:p w14:paraId="616E8376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3.3 控制尺度</w:t>
      </w:r>
      <w:bookmarkStart w:id="0" w:name="_GoBack"/>
      <w:bookmarkEnd w:id="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6"/>
        <w:gridCol w:w="7110"/>
      </w:tblGrid>
      <w:tr w14:paraId="154B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03830F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尺度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0CDFC1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控制方式</w:t>
            </w:r>
          </w:p>
        </w:tc>
      </w:tr>
      <w:tr w14:paraId="2F7F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EE04263">
            <w:r>
              <w:rPr>
                <w:rFonts w:ascii="宋体" w:hAnsi="宋体" w:eastAsia="宋体" w:cs="宋体"/>
                <w:sz w:val="20"/>
                <w:szCs w:val="20"/>
              </w:rPr>
              <w:t>宏观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CC748F8">
            <w:r>
              <w:rPr>
                <w:rFonts w:ascii="宋体" w:hAnsi="宋体" w:eastAsia="宋体" w:cs="宋体"/>
                <w:sz w:val="20"/>
                <w:szCs w:val="20"/>
              </w:rPr>
              <w:t>所有节点接收相同全局控制输入</w:t>
            </w:r>
          </w:p>
        </w:tc>
      </w:tr>
      <w:tr w14:paraId="2509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6D154B3D">
            <w:r>
              <w:rPr>
                <w:rFonts w:ascii="宋体" w:hAnsi="宋体" w:eastAsia="宋体" w:cs="宋体"/>
                <w:sz w:val="20"/>
                <w:szCs w:val="20"/>
              </w:rPr>
              <w:t>微观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3428F5B2">
            <w:r>
              <w:rPr>
                <w:rFonts w:ascii="宋体" w:hAnsi="宋体" w:eastAsia="宋体" w:cs="宋体"/>
                <w:sz w:val="20"/>
                <w:szCs w:val="20"/>
              </w:rPr>
              <w:t>每个节点独立控制</w:t>
            </w:r>
          </w:p>
        </w:tc>
      </w:tr>
      <w:tr w14:paraId="3F08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20B74F1">
            <w:r>
              <w:rPr>
                <w:rFonts w:ascii="宋体" w:hAnsi="宋体" w:eastAsia="宋体" w:cs="宋体"/>
                <w:sz w:val="20"/>
                <w:szCs w:val="20"/>
              </w:rPr>
              <w:t>中观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1FAD64C">
            <w:r>
              <w:rPr>
                <w:rFonts w:ascii="宋体" w:hAnsi="宋体" w:eastAsia="宋体" w:cs="宋体"/>
                <w:sz w:val="20"/>
                <w:szCs w:val="20"/>
              </w:rPr>
              <w:t>基于聚类聚合特征的 MPC 控制——降低计算量、保持精度</w:t>
            </w:r>
          </w:p>
        </w:tc>
      </w:tr>
    </w:tbl>
    <w:p w14:paraId="6B58AC92">
      <w:pPr>
        <w:spacing w:after="120"/>
      </w:pPr>
    </w:p>
    <w:p w14:paraId="4332945D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四、典型应用场景</w:t>
      </w:r>
    </w:p>
    <w:p w14:paraId="0F53BFBE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4.1 工程机械：无人摊铺碾压机群</w:t>
      </w:r>
    </w:p>
    <w:p w14:paraId="3C9BC08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模式：“自然人统筹 → 数字人研判 → 无人机执行” 三层协同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5"/>
        <w:gridCol w:w="2508"/>
        <w:gridCol w:w="4023"/>
      </w:tblGrid>
      <w:tr w14:paraId="28FF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2EDA322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3CE81C5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规模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vAlign w:val="center"/>
          </w:tcPr>
          <w:p w14:paraId="5157A32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2A8A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2854921">
            <w:r>
              <w:rPr>
                <w:rFonts w:ascii="宋体" w:hAnsi="宋体" w:eastAsia="宋体" w:cs="宋体"/>
                <w:sz w:val="20"/>
                <w:szCs w:val="20"/>
              </w:rPr>
              <w:t>徐淮阜高速（三一）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3F4121E">
            <w:r>
              <w:rPr>
                <w:rFonts w:ascii="宋体" w:hAnsi="宋体" w:eastAsia="宋体" w:cs="宋体"/>
                <w:sz w:val="20"/>
                <w:szCs w:val="20"/>
              </w:rPr>
              <w:t>15台设备协同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0E341FE">
            <w:r>
              <w:rPr>
                <w:rFonts w:ascii="宋体" w:hAnsi="宋体" w:eastAsia="宋体" w:cs="宋体"/>
                <w:sz w:val="20"/>
                <w:szCs w:val="20"/>
              </w:rPr>
              <w:t>减少人员60%，日效率+20%</w:t>
            </w:r>
          </w:p>
        </w:tc>
      </w:tr>
      <w:tr w14:paraId="442D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F25EA52">
            <w:r>
              <w:rPr>
                <w:rFonts w:ascii="宋体" w:hAnsi="宋体" w:eastAsia="宋体" w:cs="宋体"/>
                <w:sz w:val="20"/>
                <w:szCs w:val="20"/>
              </w:rPr>
              <w:t>东兴高速（中交一公局）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42D0F56E">
            <w:r>
              <w:rPr>
                <w:rFonts w:ascii="宋体" w:hAnsi="宋体" w:eastAsia="宋体" w:cs="宋体"/>
                <w:sz w:val="20"/>
                <w:szCs w:val="20"/>
              </w:rPr>
              <w:t>摊铺+压路机群编队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6182B3F3">
            <w:r>
              <w:rPr>
                <w:rFonts w:ascii="宋体" w:hAnsi="宋体" w:eastAsia="宋体" w:cs="宋体"/>
                <w:sz w:val="20"/>
                <w:szCs w:val="20"/>
              </w:rPr>
              <w:t>跟踪精度 3cm，贴边精度 1cm</w:t>
            </w:r>
          </w:p>
        </w:tc>
      </w:tr>
      <w:tr w14:paraId="676E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DF2528E">
            <w:r>
              <w:rPr>
                <w:rFonts w:ascii="宋体" w:hAnsi="宋体" w:eastAsia="宋体" w:cs="宋体"/>
                <w:sz w:val="20"/>
                <w:szCs w:val="20"/>
              </w:rPr>
              <w:t>东部高速养护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5A09452">
            <w:r>
              <w:rPr>
                <w:rFonts w:ascii="宋体" w:hAnsi="宋体" w:eastAsia="宋体" w:cs="宋体"/>
                <w:sz w:val="20"/>
                <w:szCs w:val="20"/>
              </w:rPr>
              <w:t>2台摊铺+6台压路机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AE0B65">
            <w:r>
              <w:rPr>
                <w:rFonts w:ascii="宋体" w:hAnsi="宋体" w:eastAsia="宋体" w:cs="宋体"/>
                <w:sz w:val="20"/>
                <w:szCs w:val="20"/>
              </w:rPr>
              <w:t>效率+25%，油耗-15%</w:t>
            </w:r>
          </w:p>
        </w:tc>
      </w:tr>
      <w:tr w14:paraId="546F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0F28ECC3">
            <w:r>
              <w:rPr>
                <w:rFonts w:ascii="宋体" w:hAnsi="宋体" w:eastAsia="宋体" w:cs="宋体"/>
                <w:sz w:val="20"/>
                <w:szCs w:val="20"/>
              </w:rPr>
              <w:t>贵平高速（徐工）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78764E56">
            <w:r>
              <w:rPr>
                <w:rFonts w:ascii="宋体" w:hAnsi="宋体" w:eastAsia="宋体" w:cs="宋体"/>
                <w:sz w:val="20"/>
                <w:szCs w:val="20"/>
              </w:rPr>
              <w:t>1人操作6台压路机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</w:tcPr>
          <w:p w14:paraId="2C00CB45">
            <w:r>
              <w:rPr>
                <w:rFonts w:ascii="宋体" w:hAnsi="宋体" w:eastAsia="宋体" w:cs="宋体"/>
                <w:sz w:val="20"/>
                <w:szCs w:val="20"/>
              </w:rPr>
              <w:t>远程唤醒，全天候施工</w:t>
            </w:r>
          </w:p>
        </w:tc>
      </w:tr>
    </w:tbl>
    <w:p w14:paraId="2DBF8175">
      <w:pPr>
        <w:spacing w:after="120"/>
      </w:pPr>
    </w:p>
    <w:p w14:paraId="7C4BF8B7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技术栈：北斗 RTK + 车载通信链路 + 多传感器避障 + 云平台数据闭环</w:t>
      </w:r>
    </w:p>
    <w:p w14:paraId="29DBAD0A">
      <w:pPr>
        <w:pStyle w:val="3"/>
        <w:spacing w:before="280" w:after="20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4.2 无人机集群</w:t>
      </w:r>
    </w:p>
    <w:p w14:paraId="7A758E1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编队控制：领航-跟随、虚拟结构、行为法、一致性法</w:t>
      </w:r>
    </w:p>
    <w:p w14:paraId="2155F845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协同避障：人工势场 + MPC</w:t>
      </w:r>
    </w:p>
    <w:p w14:paraId="3862C4F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• 任务分配：拍卖算法、一致性协商、强化学习</w:t>
      </w:r>
    </w:p>
    <w:p w14:paraId="577A06B5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2024 年研究热点：异构集群协同、AI 赋能、复杂对抗环境联合作战</w:t>
      </w:r>
    </w:p>
    <w:p w14:paraId="01DB0678">
      <w:pPr>
        <w:spacing w:after="12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92592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F1575">
    <w:pPr>
      <w:jc w:val="right"/>
    </w:pPr>
    <w:r>
      <w:rPr>
        <w:rFonts w:ascii="微软雅黑" w:hAnsi="微软雅黑" w:eastAsia="微软雅黑" w:cs="微软雅黑"/>
        <w:i/>
        <w:iCs/>
        <w:color w:val="999999"/>
        <w:sz w:val="18"/>
        <w:szCs w:val="18"/>
      </w:rPr>
      <w:t>集群协同控制调研报告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B146C1"/>
    <w:rsid w:val="41355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微软雅黑" w:hAnsi="微软雅黑" w:eastAsia="微软雅黑" w:cs="微软雅黑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456</Words>
  <Characters>543</Characters>
  <TotalTime>1</TotalTime>
  <ScaleCrop>false</ScaleCrop>
  <LinksUpToDate>false</LinksUpToDate>
  <CharactersWithSpaces>572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2026-05-22T11:18:00Z</dcterms:created>
  <dc:creator>Un-named</dc:creator>
  <cp:lastModifiedBy>AAA机械工程师刘师傅</cp:lastModifiedBy>
  <dcterms:modified xsi:type="dcterms:W3CDTF">2026-05-22T11:38:19Z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eyJoZGlkIjoiY2Q0ZWYyMDExMGNmNWEzMmZiYjU5ZGZiZTJlMDdmMWUiLCJ1c2VySWQiOiIxMTI3NDMxODE0In0=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624D4B8C7AD7463FA872A9186E929FF1_12</vt:lpwstr>
  </property>
</Properties>
</file>