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3A5C"/>
          <w:sz w:val="44"/>
          <w:szCs w:val="44"/>
        </w:rPr>
        <w:t xml:space="preserve">CAIL 2023 ArgMine Dataset</w:t>
      </w:r>
    </w:p>
    <w:p>
      <w:pPr>
        <w:spacing w:after="100"/>
        <w:jc w:val="center"/>
      </w:pPr>
      <w:r>
        <w:rPr>
          <w:rFonts w:ascii="Arial" w:cs="Arial" w:eastAsia="Arial" w:hAnsi="Arial"/>
          <w:color w:val="2E6DA4"/>
          <w:sz w:val="28"/>
          <w:szCs w:val="28"/>
        </w:rPr>
        <w:t xml:space="preserve">Dataset Description &amp; Schema Reference</w:t>
      </w:r>
    </w:p>
    <w:p>
      <w:pPr>
        <w:pBdr>
          <w:bottom w:val="single" w:color="2E6DA4" w:sz="6" w:space="1"/>
        </w:pBdr>
        <w:spacing w:after="600"/>
        <w:jc w:val="center"/>
      </w:pPr>
    </w:p>
    <w:p>
      <w:pPr>
        <w:spacing w:after="100"/>
        <w:jc w:val="center"/>
      </w:pPr>
      <w:r>
        <w:rPr>
          <w:rFonts w:ascii="Arial" w:cs="Arial" w:eastAsia="Arial" w:hAnsi="Arial"/>
          <w:i/>
          <w:iCs/>
          <w:color w:val="555555"/>
          <w:sz w:val="22"/>
          <w:szCs w:val="22"/>
        </w:rPr>
        <w:t xml:space="preserve">Chinese Legal Argument Mining from Court Proceedings</w:t>
      </w:r>
    </w:p>
    <w:p>
      <w:pPr>
        <w:spacing w:after="100"/>
        <w:jc w:val="center"/>
      </w:pPr>
      <w:r>
        <w:rPr>
          <w:rFonts w:ascii="Arial" w:cs="Arial" w:eastAsia="Arial" w:hAnsi="Arial"/>
          <w:color w:val="555555"/>
          <w:sz w:val="20"/>
          <w:szCs w:val="20"/>
        </w:rPr>
        <w:t xml:space="preserve">Reference Paper: Liang et al., "Overview of the CAIL 2023 Argument Mining Track"</w:t>
      </w:r>
    </w:p>
    <w:p>
      <w:pPr>
        <w:spacing w:after="100"/>
        <w:jc w:val="center"/>
      </w:pPr>
      <w:hyperlink w:history="1" r:id="rIdqcwdb9punbejwgrxwgu8t">
        <w:r>
          <w:rPr>
            <w:rStyle w:val="Hyperlink"/>
            <w:rFonts w:ascii="Arial" w:cs="Arial" w:eastAsia="Arial" w:hAnsi="Arial"/>
            <w:sz w:val="20"/>
            <w:szCs w:val="20"/>
          </w:rPr>
          <w:t xml:space="preserve">https://arxiv.org/abs/2406.14503</w:t>
        </w:r>
      </w:hyperlink>
    </w:p>
    <w:p>
      <w:pPr>
        <w:spacing w:before="1200"/>
      </w:pPr>
    </w:p>
    <w:p>
      <w:pPr>
        <w:jc w:val="center"/>
      </w:pPr>
      <w:r>
        <w:rPr>
          <w:rFonts w:ascii="Arial" w:cs="Arial" w:eastAsia="Arial" w:hAnsi="Arial"/>
          <w:color w:val="888888"/>
          <w:sz w:val="20"/>
          <w:szCs w:val="20"/>
        </w:rPr>
        <w:t xml:space="preserve">Document prepared: February 2026</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2"/>
          <w:szCs w:val="22"/>
        </w:rPr>
        <w:t xml:space="preserve">The CAIL 2023 ArgMine dataset is a Chinese legal argument mining benchmark released as part of the CAIL (Challenge of AI in Law) 2023 competition. It focuses on identifying and extracting interacting argument pairs from Chinese court proceedings, including both judgment documents and trial recordings.</w:t>
      </w:r>
    </w:p>
    <w:p>
      <w:pPr>
        <w:spacing w:after="120"/>
      </w:pPr>
      <w:r>
        <w:rPr>
          <w:rFonts w:ascii="Arial" w:cs="Arial" w:eastAsia="Arial" w:hAnsi="Arial"/>
          <w:sz w:val="22"/>
          <w:szCs w:val="22"/>
        </w:rPr>
        <w:t xml:space="preserve">The dataset covers 13 causes of action across criminal and civil cases, with approximately 3,620 documents and 20,009 argument pairs. It is designed to evaluate models on two progressively harder tasks: argument pair identification (multiple-choice) and argument pair extraction (open-ended).</w:t>
      </w:r>
    </w:p>
    <w:p>
      <w:pPr>
        <w:spacing w:after="120"/>
      </w:pPr>
      <w:r>
        <w:rPr>
          <w:rFonts w:ascii="Arial" w:cs="Arial" w:eastAsia="Arial" w:hAnsi="Arial"/>
          <w:b/>
          <w:bCs/>
          <w:sz w:val="22"/>
          <w:szCs w:val="22"/>
        </w:rPr>
        <w:t xml:space="preserve">Key design principle: </w:t>
      </w:r>
      <w:r>
        <w:rPr>
          <w:rFonts w:ascii="Arial" w:cs="Arial" w:eastAsia="Arial" w:hAnsi="Arial"/>
          <w:sz w:val="22"/>
          <w:szCs w:val="22"/>
        </w:rPr>
        <w:t xml:space="preserve">Train and test sets use non-overlapping causes of action, forcing models to generalize across legal domains rather than memorize domain-specific patterns.</w:t>
      </w:r>
    </w:p>
    <w:p>
      <w:pPr>
        <w:pStyle w:val="Heading1"/>
      </w:pPr>
      <w:r>
        <w:t xml:space="preserve">2. Directory Structure</w:t>
      </w:r>
    </w:p>
    <w:p>
      <w:pPr>
        <w:spacing w:after="120"/>
      </w:pPr>
      <w:r>
        <w:rPr>
          <w:rFonts w:ascii="Arial" w:cs="Arial" w:eastAsia="Arial" w:hAnsi="Arial"/>
          <w:sz w:val="22"/>
          <w:szCs w:val="22"/>
        </w:rPr>
        <w:t xml:space="preserve">After reorganization, the dataset has the following top-level structure:</w:t>
      </w:r>
    </w:p>
    <w:p>
      <w:pPr>
        <w:spacing w:after="60"/>
        <w:ind w:left="360"/>
      </w:pPr>
      <w:r>
        <w:rPr>
          <w:rFonts w:ascii="Courier New" w:cs="Courier New" w:eastAsia="Courier New" w:hAnsi="Courier New"/>
          <w:sz w:val="18"/>
          <w:szCs w:val="18"/>
        </w:rPr>
        <w:t xml:space="preserve">CAIL2023/</w:t>
      </w:r>
    </w:p>
    <w:p>
      <w:pPr>
        <w:spacing w:after="60"/>
        <w:ind w:left="360"/>
      </w:pPr>
      <w:r>
        <w:rPr>
          <w:rFonts w:ascii="Courier New" w:cs="Courier New" w:eastAsia="Courier New" w:hAnsi="Courier New"/>
          <w:sz w:val="18"/>
          <w:szCs w:val="18"/>
        </w:rPr>
        <w:t xml:space="preserve">├── 论辩理解入门赛数据集/     (Beginner Track)</w:t>
      </w:r>
    </w:p>
    <w:p>
      <w:pPr>
        <w:spacing w:after="60"/>
        <w:ind w:left="360"/>
      </w:pPr>
      <w:r>
        <w:rPr>
          <w:rFonts w:ascii="Courier New" w:cs="Courier New" w:eastAsia="Courier New" w:hAnsi="Courier New"/>
          <w:sz w:val="18"/>
          <w:szCs w:val="18"/>
        </w:rPr>
        <w:t xml:space="preserve">├── 论辩理解邀请赛数据集/     (Invitation Track)</w:t>
      </w:r>
    </w:p>
    <w:p>
      <w:pPr>
        <w:spacing w:after="60"/>
        <w:ind w:left="360"/>
      </w:pPr>
      <w:r>
        <w:rPr>
          <w:rFonts w:ascii="Courier New" w:cs="Courier New" w:eastAsia="Courier New" w:hAnsi="Courier New"/>
          <w:sz w:val="18"/>
          <w:szCs w:val="18"/>
        </w:rPr>
        <w:t xml:space="preserve">├── test/                        (Multimodal ASR transcripts)</w:t>
      </w:r>
    </w:p>
    <w:p>
      <w:pPr>
        <w:spacing w:after="60"/>
        <w:ind w:left="360"/>
      </w:pPr>
      <w:r>
        <w:rPr>
          <w:rFonts w:ascii="Courier New" w:cs="Courier New" w:eastAsia="Courier New" w:hAnsi="Courier New"/>
          <w:sz w:val="18"/>
          <w:szCs w:val="18"/>
        </w:rPr>
        <w:t xml:space="preserve">│   ├── 24/textres.txt</w:t>
      </w:r>
    </w:p>
    <w:p>
      <w:pPr>
        <w:spacing w:after="60"/>
        <w:ind w:left="360"/>
      </w:pPr>
      <w:r>
        <w:rPr>
          <w:rFonts w:ascii="Courier New" w:cs="Courier New" w:eastAsia="Courier New" w:hAnsi="Courier New"/>
          <w:sz w:val="18"/>
          <w:szCs w:val="18"/>
        </w:rPr>
        <w:t xml:space="preserve">│   ├── 86/textres.txt</w:t>
      </w:r>
    </w:p>
    <w:p>
      <w:pPr>
        <w:spacing w:after="60"/>
        <w:ind w:left="360"/>
      </w:pPr>
      <w:r>
        <w:rPr>
          <w:rFonts w:ascii="Courier New" w:cs="Courier New" w:eastAsia="Courier New" w:hAnsi="Courier New"/>
          <w:sz w:val="18"/>
          <w:szCs w:val="18"/>
        </w:rPr>
        <w:t xml:space="preserve">│   └── ...  (61 subfolders)</w:t>
      </w:r>
    </w:p>
    <w:p>
      <w:pPr>
        <w:spacing w:after="60"/>
        <w:ind w:left="360"/>
      </w:pPr>
      <w:r>
        <w:rPr>
          <w:rFonts w:ascii="Courier New" w:cs="Courier New" w:eastAsia="Courier New" w:hAnsi="Courier New"/>
          <w:sz w:val="18"/>
          <w:szCs w:val="18"/>
        </w:rPr>
        <w:t xml:space="preserve">└── audio_archive/               (Court hearing audio, ~6.1 GB)</w:t>
      </w:r>
    </w:p>
    <w:p>
      <w:pPr>
        <w:spacing w:after="60"/>
        <w:ind w:left="360"/>
      </w:pPr>
      <w:r>
        <w:rPr>
          <w:rFonts w:ascii="Courier New" w:cs="Courier New" w:eastAsia="Courier New" w:hAnsi="Courier New"/>
          <w:sz w:val="18"/>
          <w:szCs w:val="18"/>
        </w:rPr>
        <w:t xml:space="preserve">    ├── 24/24.wav</w:t>
      </w:r>
    </w:p>
    <w:p>
      <w:pPr>
        <w:spacing w:after="60"/>
        <w:ind w:left="360"/>
      </w:pPr>
      <w:r>
        <w:rPr>
          <w:rFonts w:ascii="Courier New" w:cs="Courier New" w:eastAsia="Courier New" w:hAnsi="Courier New"/>
          <w:sz w:val="18"/>
          <w:szCs w:val="18"/>
        </w:rPr>
        <w:t xml:space="preserve">    ├── 86/86.wav</w:t>
      </w:r>
    </w:p>
    <w:p>
      <w:pPr>
        <w:spacing w:after="60"/>
        <w:ind w:left="360"/>
      </w:pPr>
      <w:r>
        <w:rPr>
          <w:rFonts w:ascii="Courier New" w:cs="Courier New" w:eastAsia="Courier New" w:hAnsi="Courier New"/>
          <w:sz w:val="18"/>
          <w:szCs w:val="18"/>
        </w:rPr>
        <w:t xml:space="preserve">    └── ...  (61 subfolders)</w:t>
      </w:r>
    </w:p>
    <w:p>
      <w:pPr>
        <w:spacing w:after="120"/>
      </w:pPr>
    </w:p>
    <w:p>
      <w:pPr>
        <w:spacing w:after="120"/>
      </w:pPr>
      <w:r>
        <w:rPr>
          <w:rFonts w:ascii="Arial" w:cs="Arial" w:eastAsia="Arial" w:hAnsi="Arial"/>
          <w:b/>
          <w:bCs/>
          <w:sz w:val="22"/>
          <w:szCs w:val="22"/>
        </w:rPr>
        <w:t xml:space="preserve">Note on audio_archive/: </w:t>
      </w:r>
      <w:r>
        <w:rPr>
          <w:rFonts w:ascii="Arial" w:cs="Arial" w:eastAsia="Arial" w:hAnsi="Arial"/>
          <w:sz w:val="22"/>
          <w:szCs w:val="22"/>
        </w:rPr>
        <w:t xml:space="preserve">The audio_archive/ directory contains 61 court hearing WAV files totaling approximately 6.1 GB (~52.9 hours of audio). These files have been separated from the main dataset to reduce download size. </w:t>
      </w:r>
      <w:r>
        <w:rPr>
          <w:rFonts w:ascii="Arial" w:cs="Arial" w:eastAsia="Arial" w:hAnsi="Arial"/>
          <w:b/>
          <w:bCs/>
          <w:sz w:val="22"/>
          <w:szCs w:val="22"/>
        </w:rPr>
        <w:t xml:space="preserve">When downloading/syncing the dataset, collaborators may skip the audio_archive/ folder unless multimodal experiments are needed.</w:t>
      </w:r>
      <w:r>
        <w:rPr>
          <w:rFonts w:ascii="Arial" w:cs="Arial" w:eastAsia="Arial" w:hAnsi="Arial"/>
          <w:sz w:val="22"/>
          <w:szCs w:val="22"/>
        </w:rPr>
        <w:t xml:space="preserve"> The text-based ASR transcripts (textres.txt) remain in the test/ directory and are sufficient for text-only research. If uploading to Google Drive or similar, consider placing audio_archive/ in a separate shared subfolder that collaborators are encouraged to skip during initial download.</w:t>
      </w:r>
    </w:p>
    <w:p>
      <w:pPr>
        <w:pStyle w:val="Heading2"/>
      </w:pPr>
      <w:r>
        <w:t xml:space="preserve">2.1 Encoding</w:t>
      </w:r>
    </w:p>
    <w:p>
      <w:pPr>
        <w:spacing w:after="120"/>
      </w:pPr>
      <w:r>
        <w:rPr>
          <w:rFonts w:ascii="Arial" w:cs="Arial" w:eastAsia="Arial" w:hAnsi="Arial"/>
          <w:sz w:val="22"/>
          <w:szCs w:val="22"/>
        </w:rPr>
        <w:t xml:space="preserve">All files in this dataset are UTF-8 encoded:</w:t>
      </w:r>
    </w:p>
    <w:p>
      <w:pPr>
        <w:pStyle w:val="ListParagraph"/>
        <w:numPr>
          <w:ilvl w:val="0"/>
          <w:numId w:val="2"/>
        </w:numPr>
        <w:spacing w:after="60"/>
      </w:pPr>
      <w:r>
        <w:rPr>
          <w:rFonts w:ascii="Arial" w:cs="Arial" w:eastAsia="Arial" w:hAnsi="Arial"/>
          <w:sz w:val="22"/>
          <w:szCs w:val="22"/>
        </w:rPr>
        <w:t xml:space="preserve">JSONL files (.jsonl): UTF-8 with human-readable Chinese characters.</w:t>
      </w:r>
    </w:p>
    <w:p>
      <w:pPr>
        <w:pStyle w:val="ListParagraph"/>
        <w:numPr>
          <w:ilvl w:val="0"/>
          <w:numId w:val="2"/>
        </w:numPr>
        <w:spacing w:after="60"/>
      </w:pPr>
      <w:r>
        <w:rPr>
          <w:rFonts w:ascii="Arial" w:cs="Arial" w:eastAsia="Arial" w:hAnsi="Arial"/>
          <w:sz w:val="22"/>
          <w:szCs w:val="22"/>
        </w:rPr>
        <w:t xml:space="preserve">Transcript files (textres.txt): UTF-8 encoded plain text.</w:t>
      </w:r>
    </w:p>
    <w:p>
      <w:pPr>
        <w:pStyle w:val="ListParagraph"/>
        <w:numPr>
          <w:ilvl w:val="0"/>
          <w:numId w:val="2"/>
        </w:numPr>
        <w:spacing w:after="60"/>
      </w:pPr>
      <w:r>
        <w:rPr>
          <w:rFonts w:ascii="Arial" w:cs="Arial" w:eastAsia="Arial" w:hAnsi="Arial"/>
          <w:sz w:val="22"/>
          <w:szCs w:val="22"/>
        </w:rPr>
        <w:t xml:space="preserve">Audio files (.wav): 16-bit PCM, mono, 16 kHz sample rate.</w:t>
      </w:r>
    </w:p>
    <w:p>
      <w:pPr>
        <w:pStyle w:val="Heading2"/>
      </w:pPr>
      <w:r>
        <w:t xml:space="preserve">2.2 Sharing Instructions</w:t>
      </w:r>
    </w:p>
    <w:p>
      <w:pPr>
        <w:spacing w:after="120"/>
      </w:pPr>
      <w:r>
        <w:rPr>
          <w:rFonts w:ascii="Arial" w:cs="Arial" w:eastAsia="Arial" w:hAnsi="Arial"/>
          <w:sz w:val="22"/>
          <w:szCs w:val="22"/>
        </w:rPr>
        <w:t xml:space="preserve">When sharing or uploading the dataset:</w:t>
      </w:r>
    </w:p>
    <w:p>
      <w:pPr>
        <w:pStyle w:val="ListParagraph"/>
        <w:numPr>
          <w:ilvl w:val="0"/>
          <w:numId w:val="3"/>
        </w:numPr>
        <w:spacing w:after="60"/>
      </w:pPr>
      <w:r>
        <w:rPr>
          <w:rFonts w:ascii="Arial" w:cs="Arial" w:eastAsia="Arial" w:hAnsi="Arial"/>
          <w:sz w:val="22"/>
          <w:szCs w:val="22"/>
        </w:rPr>
        <w:t xml:space="preserve">Compress the entire CAIL2023/ folder into a single .zip file (no per-subfolder archives needed).</w:t>
      </w:r>
    </w:p>
    <w:p>
      <w:pPr>
        <w:pStyle w:val="ListParagraph"/>
        <w:numPr>
          <w:ilvl w:val="0"/>
          <w:numId w:val="3"/>
        </w:numPr>
        <w:spacing w:after="60"/>
      </w:pPr>
      <w:r>
        <w:rPr>
          <w:rFonts w:ascii="Arial" w:cs="Arial" w:eastAsia="Arial" w:hAnsi="Arial"/>
          <w:sz w:val="22"/>
          <w:szCs w:val="22"/>
        </w:rPr>
        <w:t xml:space="preserve">If storage or bandwidth is limited, you may exclude </w:t>
      </w:r>
      <w:r>
        <w:rPr>
          <w:rFonts w:ascii="Courier New" w:cs="Courier New" w:eastAsia="Courier New" w:hAnsi="Courier New"/>
          <w:sz w:val="20"/>
          <w:szCs w:val="20"/>
        </w:rPr>
        <w:t xml:space="preserve">audio_archive/</w:t>
      </w:r>
      <w:r>
        <w:rPr>
          <w:rFonts w:ascii="Arial" w:cs="Arial" w:eastAsia="Arial" w:hAnsi="Arial"/>
          <w:sz w:val="22"/>
          <w:szCs w:val="22"/>
        </w:rPr>
        <w:t xml:space="preserve"> from the primary download and provide it separately.</w:t>
      </w:r>
    </w:p>
    <w:p>
      <w:pPr>
        <w:pStyle w:val="ListParagraph"/>
        <w:numPr>
          <w:ilvl w:val="0"/>
          <w:numId w:val="3"/>
        </w:numPr>
        <w:spacing w:after="60"/>
      </w:pPr>
      <w:r>
        <w:rPr>
          <w:rFonts w:ascii="Arial" w:cs="Arial" w:eastAsia="Arial" w:hAnsi="Arial"/>
          <w:sz w:val="22"/>
          <w:szCs w:val="22"/>
        </w:rPr>
        <w:t xml:space="preserve">The ASR transcripts in test/ are lightweight (~860 KB total) and should always be included.</w:t>
      </w:r>
    </w:p>
    <w:p>
      <w:r>
        <w:br w:type="page"/>
      </w:r>
    </w:p>
    <w:p>
      <w:pPr>
        <w:pStyle w:val="Heading1"/>
      </w:pPr>
      <w:r>
        <w:t xml:space="preserve">3. Task Descriptions</w:t>
      </w:r>
    </w:p>
    <w:p>
      <w:pPr>
        <w:pStyle w:val="Heading2"/>
      </w:pPr>
      <w:r>
        <w:t xml:space="preserve">3.1 Stage 1: Argument Pair Identification (Beginner Track / 入门赛)</w:t>
      </w:r>
    </w:p>
    <w:p>
      <w:pPr>
        <w:spacing w:after="120"/>
      </w:pPr>
      <w:r>
        <w:rPr>
          <w:rFonts w:ascii="Arial" w:cs="Arial" w:eastAsia="Arial" w:hAnsi="Arial"/>
          <w:b/>
          <w:bCs/>
          <w:sz w:val="22"/>
          <w:szCs w:val="22"/>
        </w:rPr>
        <w:t xml:space="preserve">Task: </w:t>
      </w:r>
      <w:r>
        <w:rPr>
          <w:rFonts w:ascii="Arial" w:cs="Arial" w:eastAsia="Arial" w:hAnsi="Arial"/>
          <w:sz w:val="22"/>
          <w:szCs w:val="22"/>
        </w:rPr>
        <w:t xml:space="preserve">Given one prosecution/plaintiff argument (sc) and five candidate defense arguments (bc_1 through bc_5), select the single correct matching defense response. This is a </w:t>
      </w:r>
      <w:r>
        <w:rPr>
          <w:rFonts w:ascii="Arial" w:cs="Arial" w:eastAsia="Arial" w:hAnsi="Arial"/>
          <w:b/>
          <w:bCs/>
          <w:sz w:val="22"/>
          <w:szCs w:val="22"/>
        </w:rPr>
        <w:t xml:space="preserve">multiple-choice classification</w:t>
      </w:r>
      <w:r>
        <w:rPr>
          <w:rFonts w:ascii="Arial" w:cs="Arial" w:eastAsia="Arial" w:hAnsi="Arial"/>
          <w:sz w:val="22"/>
          <w:szCs w:val="22"/>
        </w:rPr>
        <w:t xml:space="preserve"> task.</w:t>
      </w:r>
    </w:p>
    <w:p>
      <w:pPr>
        <w:spacing w:after="120"/>
      </w:pPr>
      <w:r>
        <w:rPr>
          <w:rFonts w:ascii="Arial" w:cs="Arial" w:eastAsia="Arial" w:hAnsi="Arial"/>
          <w:b/>
          <w:bCs/>
          <w:sz w:val="22"/>
          <w:szCs w:val="22"/>
        </w:rPr>
        <w:t xml:space="preserve">Evaluation metric: </w:t>
      </w:r>
      <w:r>
        <w:rPr>
          <w:rFonts w:ascii="Arial" w:cs="Arial" w:eastAsia="Arial" w:hAnsi="Arial"/>
          <w:sz w:val="22"/>
          <w:szCs w:val="22"/>
        </w:rPr>
        <w:t xml:space="preserve">Accuracy (number of correct selections / total entries).</w:t>
      </w:r>
    </w:p>
    <w:p>
      <w:pPr>
        <w:spacing w:after="120"/>
      </w:pPr>
      <w:r>
        <w:rPr>
          <w:rFonts w:ascii="Arial" w:cs="Arial" w:eastAsia="Arial" w:hAnsi="Arial"/>
          <w:b/>
          <w:bCs/>
          <w:sz w:val="22"/>
          <w:szCs w:val="22"/>
        </w:rPr>
        <w:t xml:space="preserve">Data source: </w:t>
      </w:r>
      <w:r>
        <w:rPr>
          <w:rFonts w:ascii="Arial" w:cs="Arial" w:eastAsia="Arial" w:hAnsi="Arial"/>
          <w:sz w:val="22"/>
          <w:szCs w:val="22"/>
        </w:rPr>
        <w:t xml:space="preserve">Judgment documents (裁判文书).</w:t>
      </w:r>
    </w:p>
    <w:p>
      <w:pPr>
        <w:pStyle w:val="Heading2"/>
      </w:pPr>
      <w:r>
        <w:t xml:space="preserve">3.2 Stage 2: Argument Pair Extraction (Invitation Track / 邀请赛)</w:t>
      </w:r>
    </w:p>
    <w:p>
      <w:pPr>
        <w:spacing w:after="120"/>
      </w:pPr>
      <w:r>
        <w:rPr>
          <w:rFonts w:ascii="Arial" w:cs="Arial" w:eastAsia="Arial" w:hAnsi="Arial"/>
          <w:b/>
          <w:bCs/>
          <w:sz w:val="22"/>
          <w:szCs w:val="22"/>
        </w:rPr>
        <w:t xml:space="preserve">Task: </w:t>
      </w:r>
      <w:r>
        <w:rPr>
          <w:rFonts w:ascii="Arial" w:cs="Arial" w:eastAsia="Arial" w:hAnsi="Arial"/>
          <w:sz w:val="22"/>
          <w:szCs w:val="22"/>
        </w:rPr>
        <w:t xml:space="preserve">Given a full document with all sentences from both sides, extract all interacting argument pairs. No candidate shortlist is provided. This is an </w:t>
      </w:r>
      <w:r>
        <w:rPr>
          <w:rFonts w:ascii="Arial" w:cs="Arial" w:eastAsia="Arial" w:hAnsi="Arial"/>
          <w:b/>
          <w:bCs/>
          <w:sz w:val="22"/>
          <w:szCs w:val="22"/>
        </w:rPr>
        <w:t xml:space="preserve">open-ended extraction</w:t>
      </w:r>
      <w:r>
        <w:rPr>
          <w:rFonts w:ascii="Arial" w:cs="Arial" w:eastAsia="Arial" w:hAnsi="Arial"/>
          <w:sz w:val="22"/>
          <w:szCs w:val="22"/>
        </w:rPr>
        <w:t xml:space="preserve"> task, substantially harder due to sparse label density (~8.88%).</w:t>
      </w:r>
    </w:p>
    <w:p>
      <w:pPr>
        <w:spacing w:after="120"/>
      </w:pPr>
      <w:r>
        <w:rPr>
          <w:rFonts w:ascii="Arial" w:cs="Arial" w:eastAsia="Arial" w:hAnsi="Arial"/>
          <w:b/>
          <w:bCs/>
          <w:sz w:val="22"/>
          <w:szCs w:val="22"/>
        </w:rPr>
        <w:t xml:space="preserve">Evaluation metric: </w:t>
      </w:r>
      <w:r>
        <w:rPr>
          <w:rFonts w:ascii="Arial" w:cs="Arial" w:eastAsia="Arial" w:hAnsi="Arial"/>
          <w:sz w:val="22"/>
          <w:szCs w:val="22"/>
        </w:rPr>
        <w:t xml:space="preserve">Weighted F1 score: S2 = 0.8 × F1_text + 0.2 × F1_multimodal.</w:t>
      </w:r>
    </w:p>
    <w:p>
      <w:pPr>
        <w:spacing w:after="120"/>
      </w:pPr>
      <w:r>
        <w:rPr>
          <w:rFonts w:ascii="Arial" w:cs="Arial" w:eastAsia="Arial" w:hAnsi="Arial"/>
          <w:sz w:val="22"/>
          <w:szCs w:val="22"/>
        </w:rPr>
        <w:t xml:space="preserve">This track includes two sub-tasks:</w:t>
      </w:r>
    </w:p>
    <w:p>
      <w:pPr>
        <w:pStyle w:val="ListParagraph"/>
        <w:numPr>
          <w:ilvl w:val="0"/>
          <w:numId w:val="4"/>
        </w:numPr>
        <w:spacing w:after="60"/>
      </w:pPr>
      <w:r>
        <w:rPr>
          <w:rFonts w:ascii="Arial" w:cs="Arial" w:eastAsia="Arial" w:hAnsi="Arial"/>
          <w:b/>
          <w:bCs/>
          <w:sz w:val="22"/>
          <w:szCs w:val="22"/>
        </w:rPr>
        <w:t xml:space="preserve">Single-modal: </w:t>
      </w:r>
      <w:r>
        <w:rPr>
          <w:rFonts w:ascii="Arial" w:cs="Arial" w:eastAsia="Arial" w:hAnsi="Arial"/>
          <w:sz w:val="22"/>
          <w:szCs w:val="22"/>
        </w:rPr>
        <w:t xml:space="preserve">Argument pair extraction from text-only court transcripts.</w:t>
      </w:r>
    </w:p>
    <w:p>
      <w:pPr>
        <w:pStyle w:val="ListParagraph"/>
        <w:numPr>
          <w:ilvl w:val="0"/>
          <w:numId w:val="4"/>
        </w:numPr>
        <w:spacing w:after="60"/>
      </w:pPr>
      <w:r>
        <w:rPr>
          <w:rFonts w:ascii="Arial" w:cs="Arial" w:eastAsia="Arial" w:hAnsi="Arial"/>
          <w:b/>
          <w:bCs/>
          <w:sz w:val="22"/>
          <w:szCs w:val="22"/>
        </w:rPr>
        <w:t xml:space="preserve">Multimodal: </w:t>
      </w:r>
      <w:r>
        <w:rPr>
          <w:rFonts w:ascii="Arial" w:cs="Arial" w:eastAsia="Arial" w:hAnsi="Arial"/>
          <w:sz w:val="22"/>
          <w:szCs w:val="22"/>
        </w:rPr>
        <w:t xml:space="preserve">Argument pair extraction with additional court hearing audio and ASR transcripts.</w:t>
      </w:r>
    </w:p>
    <w:p>
      <w:pPr>
        <w:pStyle w:val="Heading2"/>
      </w:pPr>
      <w:r>
        <w:t xml:space="preserve">3.3 Overall Scoring</w:t>
      </w:r>
    </w:p>
    <w:p>
      <w:pPr>
        <w:spacing w:after="120"/>
      </w:pPr>
      <w:r>
        <w:rPr>
          <w:rFonts w:ascii="Courier New" w:cs="Courier New" w:eastAsia="Courier New" w:hAnsi="Courier New"/>
          <w:sz w:val="20"/>
          <w:szCs w:val="20"/>
        </w:rPr>
        <w:t xml:space="preserve">Combined score: S = 0.3 × S1 + 0.7 × S2</w:t>
      </w:r>
    </w:p>
    <w:p>
      <w:r>
        <w:br w:type="page"/>
      </w:r>
    </w:p>
    <w:p>
      <w:pPr>
        <w:pStyle w:val="Heading1"/>
      </w:pPr>
      <w:r>
        <w:t xml:space="preserve">4. Data Schema</w:t>
      </w:r>
    </w:p>
    <w:p>
      <w:pPr>
        <w:pStyle w:val="Heading2"/>
      </w:pPr>
      <w:r>
        <w:t xml:space="preserve">4.1 Sentence Data (*_text.jsonl)</w:t>
      </w:r>
    </w:p>
    <w:p>
      <w:pPr>
        <w:spacing w:after="120"/>
      </w:pPr>
      <w:r>
        <w:rPr>
          <w:rFonts w:ascii="Arial" w:cs="Arial" w:eastAsia="Arial" w:hAnsi="Arial"/>
          <w:sz w:val="22"/>
          <w:szCs w:val="22"/>
        </w:rPr>
        <w:t xml:space="preserve">Used in both tracks. Each line is a JSON object representing one sentence from a court document or trial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100"/>
        <w:gridCol w:w="3660"/>
      </w:tblGrid>
      <w:tr>
        <w:tc>
          <w:tcPr>
            <w:tcW w:type="dxa" w:w="16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1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(CN)</w:t>
            </w:r>
          </w:p>
        </w:tc>
        <w:tc>
          <w:tcPr>
            <w:tcW w:type="dxa" w:w="36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sentence_id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句子ID，唯一标识符</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Unique sentence identifier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裁判文书/庭审笔录ID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Court document / trial transcript 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“刑事”（刑事案件）或“民事”（民事案件）</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"criminal" or "civil" case 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罪名/案由所在章节编号</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code for the criminal charge or civil cause of 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具体的刑事罪名或民事案由</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criminal charge or civil cause of 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“sc”（诉方）或“bc”（辩方）</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 (prosecution/plaintiff) or "bc" (defense)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sentence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句子文本内容</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sentence text content</w:t>
            </w:r>
          </w:p>
        </w:tc>
      </w:tr>
    </w:tbl>
    <w:p>
      <w:pPr>
        <w:spacing w:after="200"/>
      </w:pPr>
    </w:p>
    <w:p>
      <w:pPr>
        <w:spacing w:after="120"/>
      </w:pPr>
      <w:r>
        <w:rPr>
          <w:rFonts w:ascii="Arial" w:cs="Arial" w:eastAsia="Arial" w:hAnsi="Arial"/>
          <w:b/>
          <w:bCs/>
          <w:sz w:val="22"/>
          <w:szCs w:val="22"/>
        </w:rPr>
        <w:t xml:space="preserve">Example (示例):</w:t>
      </w:r>
    </w:p>
    <w:p>
      <w:pPr>
        <w:spacing w:after="60"/>
        <w:ind w:left="360"/>
      </w:pPr>
      <w:r>
        <w:rPr>
          <w:rFonts w:ascii="Courier New" w:cs="Courier New" w:eastAsia="Courier New" w:hAnsi="Courier New"/>
          <w:sz w:val="18"/>
          <w:szCs w:val="18"/>
        </w:rPr>
        <w:t xml:space="preserve">{</w:t>
      </w:r>
    </w:p>
    <w:p>
      <w:pPr>
        <w:spacing w:after="60"/>
        <w:ind w:left="360"/>
      </w:pPr>
      <w:r>
        <w:rPr>
          <w:rFonts w:ascii="Courier New" w:cs="Courier New" w:eastAsia="Courier New" w:hAnsi="Courier New"/>
          <w:sz w:val="18"/>
          <w:szCs w:val="18"/>
        </w:rPr>
        <w:t xml:space="preserve">  "sentence_id": 0,</w:t>
      </w:r>
    </w:p>
    <w:p>
      <w:pPr>
        <w:spacing w:after="60"/>
        <w:ind w:left="360"/>
      </w:pPr>
      <w:r>
        <w:rPr>
          <w:rFonts w:ascii="Courier New" w:cs="Courier New" w:eastAsia="Courier New" w:hAnsi="Courier New"/>
          <w:sz w:val="18"/>
          <w:szCs w:val="18"/>
        </w:rPr>
        <w:t xml:space="preserve">  "text_id": 0,</w:t>
      </w:r>
    </w:p>
    <w:p>
      <w:pPr>
        <w:spacing w:after="60"/>
        <w:ind w:left="360"/>
      </w:pPr>
      <w:r>
        <w:rPr>
          <w:rFonts w:ascii="Courier New" w:cs="Courier New" w:eastAsia="Courier New" w:hAnsi="Courier New"/>
          <w:sz w:val="18"/>
          <w:szCs w:val="18"/>
        </w:rPr>
        <w:t xml:space="preserve">  "category": "刑事",                   // "criminal"</w:t>
      </w:r>
    </w:p>
    <w:p>
      <w:pPr>
        <w:spacing w:after="60"/>
        <w:ind w:left="360"/>
      </w:pPr>
      <w:r>
        <w:rPr>
          <w:rFonts w:ascii="Courier New" w:cs="Courier New" w:eastAsia="Courier New" w:hAnsi="Courier New"/>
          <w:sz w:val="18"/>
          <w:szCs w:val="18"/>
        </w:rPr>
        <w:t xml:space="preserve">  "chapter": 4,</w:t>
      </w:r>
    </w:p>
    <w:p>
      <w:pPr>
        <w:spacing w:after="60"/>
        <w:ind w:left="360"/>
      </w:pPr>
      <w:r>
        <w:rPr>
          <w:rFonts w:ascii="Courier New" w:cs="Courier New" w:eastAsia="Courier New" w:hAnsi="Courier New"/>
          <w:sz w:val="18"/>
          <w:szCs w:val="18"/>
        </w:rPr>
        <w:t xml:space="preserve">  "crime": "故意伤害罪",                // "intentional injury"</w:t>
      </w:r>
    </w:p>
    <w:p>
      <w:pPr>
        <w:spacing w:after="60"/>
        <w:ind w:left="360"/>
      </w:pPr>
      <w:r>
        <w:rPr>
          <w:rFonts w:ascii="Courier New" w:cs="Courier New" w:eastAsia="Courier New" w:hAnsi="Courier New"/>
          <w:sz w:val="18"/>
          <w:szCs w:val="18"/>
        </w:rPr>
        <w:t xml:space="preserve">  "position": "bc",                    // defense side</w:t>
      </w:r>
    </w:p>
    <w:p>
      <w:pPr>
        <w:spacing w:after="60"/>
        <w:ind w:left="360"/>
      </w:pPr>
      <w:r>
        <w:rPr>
          <w:rFonts w:ascii="Courier New" w:cs="Courier New" w:eastAsia="Courier New" w:hAnsi="Courier New"/>
          <w:sz w:val="18"/>
          <w:szCs w:val="18"/>
        </w:rPr>
        <w:t xml:space="preserve">  "sentence": "被告人梅某某辩称，时间春季，我到本村村民于某甲家里去玩时..."</w:t>
      </w:r>
    </w:p>
    <w:p>
      <w:pPr>
        <w:spacing w:after="60"/>
        <w:ind w:left="360"/>
      </w:pPr>
      <w:r>
        <w:rPr>
          <w:rFonts w:ascii="Courier New" w:cs="Courier New" w:eastAsia="Courier New" w:hAnsi="Courier New"/>
          <w:sz w:val="18"/>
          <w:szCs w:val="18"/>
        </w:rPr>
        <w:t xml:space="preserve">  // EN: "The defendant Mei XX argued that, in the spring, when I went to</w:t>
      </w:r>
    </w:p>
    <w:p>
      <w:pPr>
        <w:spacing w:after="60"/>
        <w:ind w:left="360"/>
      </w:pPr>
      <w:r>
        <w:rPr>
          <w:rFonts w:ascii="Courier New" w:cs="Courier New" w:eastAsia="Courier New" w:hAnsi="Courier New"/>
          <w:sz w:val="18"/>
          <w:szCs w:val="18"/>
        </w:rPr>
        <w:t xml:space="preserve">  //      visit fellow villager Yu XX’s home in our village..."</w:t>
      </w:r>
    </w:p>
    <w:p>
      <w:pPr>
        <w:spacing w:after="60"/>
        <w:ind w:left="360"/>
      </w:pPr>
      <w:r>
        <w:rPr>
          <w:rFonts w:ascii="Courier New" w:cs="Courier New" w:eastAsia="Courier New" w:hAnsi="Courier New"/>
          <w:sz w:val="18"/>
          <w:szCs w:val="18"/>
        </w:rPr>
        <w:t xml:space="preserve">}</w:t>
      </w:r>
    </w:p>
    <w:p>
      <w:pPr>
        <w:spacing w:after="200"/>
      </w:pPr>
    </w:p>
    <w:p>
      <w:pPr>
        <w:pStyle w:val="Heading2"/>
      </w:pPr>
      <w:r>
        <w:t xml:space="preserve">4.2 Argument Pair Entry (*_entry.jsonl) — Beginner Track Only</w:t>
      </w:r>
    </w:p>
    <w:p>
      <w:pPr>
        <w:spacing w:after="120"/>
      </w:pPr>
      <w:r>
        <w:rPr>
          <w:rFonts w:ascii="Arial" w:cs="Arial" w:eastAsia="Arial" w:hAnsi="Arial"/>
          <w:sz w:val="22"/>
          <w:szCs w:val="22"/>
        </w:rPr>
        <w:t xml:space="preserve">Multiple-choice format. Each line contains a prosecution argument and five candidate defense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100"/>
        <w:gridCol w:w="3660"/>
      </w:tblGrid>
      <w:tr>
        <w:tc>
          <w:tcPr>
            <w:tcW w:type="dxa" w:w="16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1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(CN)</w:t>
            </w:r>
          </w:p>
        </w:tc>
        <w:tc>
          <w:tcPr>
            <w:tcW w:type="dxa" w:w="36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论点对ID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Argument pair 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裁判文书ID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Judgment document 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category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刑事/民事分类</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Criminal/civil case type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章节编号</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Chapter code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具体罪名/案由</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charge/cause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诉方论点文本</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Prosecution/plaintiff argument 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bc_1 .. bc_5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五个候选辩方论点</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Five candidate defense arguments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answer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正确答案编号 (1-5)；测试集缺失</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Correct answer (1-5); absent in test set</w:t>
            </w:r>
          </w:p>
        </w:tc>
      </w:tr>
    </w:tbl>
    <w:p>
      <w:pPr>
        <w:spacing w:after="200"/>
      </w:pPr>
    </w:p>
    <w:p>
      <w:pPr>
        <w:spacing w:after="120"/>
      </w:pPr>
      <w:r>
        <w:rPr>
          <w:rFonts w:ascii="Arial" w:cs="Arial" w:eastAsia="Arial" w:hAnsi="Arial"/>
          <w:b/>
          <w:bCs/>
          <w:sz w:val="22"/>
          <w:szCs w:val="22"/>
        </w:rPr>
        <w:t xml:space="preserve">Example (示例):</w:t>
      </w:r>
    </w:p>
    <w:p>
      <w:pPr>
        <w:spacing w:after="60"/>
        <w:ind w:left="360"/>
      </w:pPr>
      <w:r>
        <w:rPr>
          <w:rFonts w:ascii="Courier New" w:cs="Courier New" w:eastAsia="Courier New" w:hAnsi="Courier New"/>
          <w:sz w:val="18"/>
          <w:szCs w:val="18"/>
        </w:rPr>
        <w:t xml:space="preserve">{</w:t>
      </w:r>
    </w:p>
    <w:p>
      <w:pPr>
        <w:spacing w:after="60"/>
        <w:ind w:left="360"/>
      </w:pPr>
      <w:r>
        <w:rPr>
          <w:rFonts w:ascii="Courier New" w:cs="Courier New" w:eastAsia="Courier New" w:hAnsi="Courier New"/>
          <w:sz w:val="18"/>
          <w:szCs w:val="18"/>
        </w:rPr>
        <w:t xml:space="preserve">  "id": 0,  "text_id": 0,  "category": "刑事",  "chapter": 4,</w:t>
      </w:r>
    </w:p>
    <w:p>
      <w:pPr>
        <w:spacing w:after="60"/>
        <w:ind w:left="360"/>
      </w:pPr>
      <w:r>
        <w:rPr>
          <w:rFonts w:ascii="Courier New" w:cs="Courier New" w:eastAsia="Courier New" w:hAnsi="Courier New"/>
          <w:sz w:val="18"/>
          <w:szCs w:val="18"/>
        </w:rPr>
        <w:t xml:space="preserve">  "crime": "故意伤害罪",  // "intentional injury"</w:t>
      </w:r>
    </w:p>
    <w:p>
      <w:pPr>
        <w:spacing w:after="60"/>
        <w:ind w:left="360"/>
      </w:pPr>
      <w:r>
        <w:rPr>
          <w:rFonts w:ascii="Courier New" w:cs="Courier New" w:eastAsia="Courier New" w:hAnsi="Courier New"/>
          <w:sz w:val="18"/>
          <w:szCs w:val="18"/>
        </w:rPr>
        <w:t xml:space="preserve">  "sc": "现要求追究被告人刑事责任的同时，由其赔偿我医疗费185823元..."</w:t>
      </w:r>
    </w:p>
    <w:p>
      <w:pPr>
        <w:spacing w:after="60"/>
        <w:ind w:left="360"/>
      </w:pPr>
      <w:r>
        <w:rPr>
          <w:rFonts w:ascii="Courier New" w:cs="Courier New" w:eastAsia="Courier New" w:hAnsi="Courier New"/>
          <w:sz w:val="18"/>
          <w:szCs w:val="18"/>
        </w:rPr>
        <w:t xml:space="preserve">  // EN: "While pursuing criminal liability of the defendant, [the plaintiff]</w:t>
      </w:r>
    </w:p>
    <w:p>
      <w:pPr>
        <w:spacing w:after="60"/>
        <w:ind w:left="360"/>
      </w:pPr>
      <w:r>
        <w:rPr>
          <w:rFonts w:ascii="Courier New" w:cs="Courier New" w:eastAsia="Courier New" w:hAnsi="Courier New"/>
          <w:sz w:val="18"/>
          <w:szCs w:val="18"/>
        </w:rPr>
        <w:t xml:space="preserve">  //      demands compensation of medical expenses of 185,823 yuan..."</w:t>
      </w:r>
    </w:p>
    <w:p>
      <w:pPr>
        <w:spacing w:after="60"/>
        <w:ind w:left="360"/>
      </w:pPr>
      <w:r>
        <w:rPr>
          <w:rFonts w:ascii="Courier New" w:cs="Courier New" w:eastAsia="Courier New" w:hAnsi="Courier New"/>
          <w:sz w:val="18"/>
          <w:szCs w:val="18"/>
        </w:rPr>
        <w:t xml:space="preserve">  "bc_1": "被告人梅某某辩称...",  // Defendant Mei XX argued...</w:t>
      </w:r>
    </w:p>
    <w:p>
      <w:pPr>
        <w:spacing w:after="60"/>
        <w:ind w:left="360"/>
      </w:pPr>
      <w:r>
        <w:rPr>
          <w:rFonts w:ascii="Courier New" w:cs="Courier New" w:eastAsia="Courier New" w:hAnsi="Courier New"/>
          <w:sz w:val="18"/>
          <w:szCs w:val="18"/>
        </w:rPr>
        <w:t xml:space="preserve">  "bc_2": "辩护人的辩护意见...",  // Defense counsel opinion...</w:t>
      </w:r>
    </w:p>
    <w:p>
      <w:pPr>
        <w:spacing w:after="60"/>
        <w:ind w:left="360"/>
      </w:pPr>
      <w:r>
        <w:rPr>
          <w:rFonts w:ascii="Courier New" w:cs="Courier New" w:eastAsia="Courier New" w:hAnsi="Courier New"/>
          <w:sz w:val="18"/>
          <w:szCs w:val="18"/>
        </w:rPr>
        <w:t xml:space="preserve">  "bc_3": "综上，被告人不承担...",  // In summary, defendant not liable...</w:t>
      </w:r>
    </w:p>
    <w:p>
      <w:pPr>
        <w:spacing w:after="60"/>
        <w:ind w:left="360"/>
      </w:pPr>
      <w:r>
        <w:rPr>
          <w:rFonts w:ascii="Courier New" w:cs="Courier New" w:eastAsia="Courier New" w:hAnsi="Courier New"/>
          <w:sz w:val="18"/>
          <w:szCs w:val="18"/>
        </w:rPr>
        <w:t xml:space="preserve">  "bc_4": "我打了自诉人一个耳光，只在此范围内承担责任。",</w:t>
      </w:r>
    </w:p>
    <w:p>
      <w:pPr>
        <w:spacing w:after="60"/>
        <w:ind w:left="360"/>
      </w:pPr>
      <w:r>
        <w:rPr>
          <w:rFonts w:ascii="Courier New" w:cs="Courier New" w:eastAsia="Courier New" w:hAnsi="Courier New"/>
          <w:sz w:val="18"/>
          <w:szCs w:val="18"/>
        </w:rPr>
        <w:t xml:space="preserve">  // EN: "I slapped the complainant once, I only accept responsibility</w:t>
      </w:r>
    </w:p>
    <w:p>
      <w:pPr>
        <w:spacing w:after="60"/>
        <w:ind w:left="360"/>
      </w:pPr>
      <w:r>
        <w:rPr>
          <w:rFonts w:ascii="Courier New" w:cs="Courier New" w:eastAsia="Courier New" w:hAnsi="Courier New"/>
          <w:sz w:val="18"/>
          <w:szCs w:val="18"/>
        </w:rPr>
        <w:t xml:space="preserve">  //      within this scope."</w:t>
      </w:r>
    </w:p>
    <w:p>
      <w:pPr>
        <w:spacing w:after="60"/>
        <w:ind w:left="360"/>
      </w:pPr>
      <w:r>
        <w:rPr>
          <w:rFonts w:ascii="Courier New" w:cs="Courier New" w:eastAsia="Courier New" w:hAnsi="Courier New"/>
          <w:sz w:val="18"/>
          <w:szCs w:val="18"/>
        </w:rPr>
        <w:t xml:space="preserve">  "bc_5": "自诉人无直接证据...",  // Complainant has no direct evidence...</w:t>
      </w:r>
    </w:p>
    <w:p>
      <w:pPr>
        <w:spacing w:after="60"/>
        <w:ind w:left="360"/>
      </w:pPr>
      <w:r>
        <w:rPr>
          <w:rFonts w:ascii="Courier New" w:cs="Courier New" w:eastAsia="Courier New" w:hAnsi="Courier New"/>
          <w:sz w:val="18"/>
          <w:szCs w:val="18"/>
        </w:rPr>
        <w:t xml:space="preserve">  "answer": 4  // Correct: bc_4</w:t>
      </w:r>
    </w:p>
    <w:p>
      <w:pPr>
        <w:spacing w:after="60"/>
        <w:ind w:left="360"/>
      </w:pPr>
      <w:r>
        <w:rPr>
          <w:rFonts w:ascii="Courier New" w:cs="Courier New" w:eastAsia="Courier New" w:hAnsi="Courier New"/>
          <w:sz w:val="18"/>
          <w:szCs w:val="18"/>
        </w:rPr>
        <w:t xml:space="preserve">}</w:t>
      </w:r>
    </w:p>
    <w:p>
      <w:pPr>
        <w:spacing w:after="200"/>
      </w:pPr>
    </w:p>
    <w:p>
      <w:pPr>
        <w:pStyle w:val="Heading2"/>
      </w:pPr>
      <w:r>
        <w:t xml:space="preserve">4.3 Argument Pair (*_pair.jsonl) — Invitation Track Only</w:t>
      </w:r>
    </w:p>
    <w:p>
      <w:pPr>
        <w:spacing w:after="120"/>
      </w:pPr>
      <w:r>
        <w:rPr>
          <w:rFonts w:ascii="Arial" w:cs="Arial" w:eastAsia="Arial" w:hAnsi="Arial"/>
          <w:sz w:val="22"/>
          <w:szCs w:val="22"/>
        </w:rPr>
        <w:t xml:space="preserve">Reference-based format using sentence IDs. Each line represents one interacting argument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100"/>
        <w:gridCol w:w="3660"/>
      </w:tblGrid>
      <w:tr>
        <w:tc>
          <w:tcPr>
            <w:tcW w:type="dxa" w:w="16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1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(CN)</w:t>
            </w:r>
          </w:p>
        </w:tc>
        <w:tc>
          <w:tcPr>
            <w:tcW w:type="dxa" w:w="36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庭审笔录ID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 transcript ID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诉方论点的 sentence_id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Prosecution argument sentence_id (references *_text.jsonl)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bc_id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辩方论点的 sentence_id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Defense argument sentence_id (references *_text.jsonl)</w:t>
            </w:r>
          </w:p>
        </w:tc>
      </w:tr>
    </w:tbl>
    <w:p>
      <w:pPr>
        <w:spacing w:after="200"/>
      </w:pPr>
    </w:p>
    <w:p>
      <w:pPr>
        <w:spacing w:after="120"/>
      </w:pPr>
      <w:r>
        <w:rPr>
          <w:rFonts w:ascii="Arial" w:cs="Arial" w:eastAsia="Arial" w:hAnsi="Arial"/>
          <w:b/>
          <w:bCs/>
          <w:sz w:val="22"/>
          <w:szCs w:val="22"/>
        </w:rPr>
        <w:t xml:space="preserve">Example (示例):</w:t>
      </w:r>
    </w:p>
    <w:p>
      <w:pPr>
        <w:spacing w:after="60"/>
        <w:ind w:left="360"/>
      </w:pPr>
      <w:r>
        <w:rPr>
          <w:rFonts w:ascii="Courier New" w:cs="Courier New" w:eastAsia="Courier New" w:hAnsi="Courier New"/>
          <w:sz w:val="18"/>
          <w:szCs w:val="18"/>
        </w:rPr>
        <w:t xml:space="preserve">{"text_id": 1, "sc_id": 0, "bc_id": 4}</w:t>
      </w:r>
    </w:p>
    <w:p>
      <w:pPr>
        <w:spacing w:after="60"/>
        <w:ind w:left="360"/>
      </w:pPr>
      <w:r>
        <w:rPr>
          <w:rFonts w:ascii="Courier New" w:cs="Courier New" w:eastAsia="Courier New" w:hAnsi="Courier New"/>
          <w:sz w:val="18"/>
          <w:szCs w:val="18"/>
        </w:rPr>
        <w:t xml:space="preserve">{"text_id": 1, "sc_id": 0, "bc_id": 5}</w:t>
      </w:r>
    </w:p>
    <w:p>
      <w:pPr>
        <w:spacing w:after="60"/>
        <w:ind w:left="360"/>
      </w:pPr>
      <w:r>
        <w:rPr>
          <w:rFonts w:ascii="Courier New" w:cs="Courier New" w:eastAsia="Courier New" w:hAnsi="Courier New"/>
          <w:sz w:val="18"/>
          <w:szCs w:val="18"/>
        </w:rPr>
        <w:t xml:space="preserve">{"text_id": 1, "sc_id": 1, "bc_id": 5}</w:t>
      </w:r>
    </w:p>
    <w:p>
      <w:pPr>
        <w:spacing w:after="120"/>
      </w:pPr>
    </w:p>
    <w:p>
      <w:pPr>
        <w:spacing w:after="120"/>
      </w:pPr>
      <w:r>
        <w:rPr>
          <w:rFonts w:ascii="Arial" w:cs="Arial" w:eastAsia="Arial" w:hAnsi="Arial"/>
          <w:sz w:val="22"/>
          <w:szCs w:val="22"/>
        </w:rPr>
        <w:t xml:space="preserve">Each pair references sentence_id values from the corresponding *_text.jsonl file. Multiple pairs can share the same sc_id or bc_id, as one argument may interact with multiple counterarguments.</w:t>
      </w:r>
    </w:p>
    <w:p>
      <w:pPr>
        <w:pStyle w:val="Heading2"/>
      </w:pPr>
      <w:r>
        <w:t xml:space="preserve">4.4 ASR Transcripts (textres.txt)</w:t>
      </w:r>
    </w:p>
    <w:p>
      <w:pPr>
        <w:spacing w:after="120"/>
      </w:pPr>
      <w:r>
        <w:rPr>
          <w:rFonts w:ascii="Arial" w:cs="Arial" w:eastAsia="Arial" w:hAnsi="Arial"/>
          <w:sz w:val="22"/>
          <w:szCs w:val="22"/>
        </w:rPr>
        <w:t xml:space="preserve">Located in test/&lt;text_id&gt;/textres.txt. Each file contains the automatic speech recognition transcript of the corresponding court hearing audio. Each line is a speaker-tagged utterance.</w:t>
      </w:r>
    </w:p>
    <w:p>
      <w:pPr>
        <w:spacing w:after="120"/>
      </w:pPr>
      <w:r>
        <w:rPr>
          <w:rFonts w:ascii="Arial" w:cs="Arial" w:eastAsia="Arial" w:hAnsi="Arial"/>
          <w:b/>
          <w:bCs/>
          <w:sz w:val="22"/>
          <w:szCs w:val="22"/>
        </w:rPr>
        <w:t xml:space="preserve">Format: </w:t>
      </w:r>
      <w:r>
        <w:rPr>
          <w:rFonts w:ascii="Courier New" w:cs="Courier New" w:eastAsia="Courier New" w:hAnsi="Courier New"/>
          <w:sz w:val="20"/>
          <w:szCs w:val="20"/>
        </w:rPr>
        <w:t xml:space="preserve">·&lt;role&gt;:&lt;utterance text&gt;</w:t>
      </w:r>
    </w:p>
    <w:p>
      <w:pPr>
        <w:spacing w:after="100"/>
      </w:pPr>
    </w:p>
    <w:p>
      <w:pPr>
        <w:spacing w:after="120"/>
      </w:pPr>
      <w:r>
        <w:rPr>
          <w:rFonts w:ascii="Arial" w:cs="Arial" w:eastAsia="Arial" w:hAnsi="Arial"/>
          <w:b/>
          <w:bCs/>
          <w:sz w:val="22"/>
          <w:szCs w:val="22"/>
        </w:rPr>
        <w:t xml:space="preserve">Example (示例) from test/24/textres.txt:</w:t>
      </w:r>
    </w:p>
    <w:p>
      <w:pPr>
        <w:spacing w:after="60"/>
        <w:ind w:left="360"/>
      </w:pPr>
      <w:r>
        <w:rPr>
          <w:rFonts w:ascii="Courier New" w:cs="Courier New" w:eastAsia="Courier New" w:hAnsi="Courier New"/>
          <w:sz w:val="18"/>
          <w:szCs w:val="18"/>
        </w:rPr>
        <w:t xml:space="preserve">·被告:原被告的身份。</w:t>
      </w:r>
    </w:p>
    <w:p>
      <w:pPr>
        <w:spacing w:after="60"/>
        <w:ind w:left="360"/>
      </w:pPr>
      <w:r>
        <w:rPr>
          <w:rFonts w:ascii="Courier New" w:cs="Courier New" w:eastAsia="Courier New" w:hAnsi="Courier New"/>
          <w:sz w:val="18"/>
          <w:szCs w:val="18"/>
        </w:rPr>
        <w:t xml:space="preserve">  // ·Defendant: The identity of the plaintiff and defendant.</w:t>
      </w:r>
    </w:p>
    <w:p>
      <w:pPr>
        <w:spacing w:after="60"/>
        <w:ind w:left="360"/>
      </w:pPr>
      <w:r>
        <w:rPr>
          <w:rFonts w:ascii="Courier New" w:cs="Courier New" w:eastAsia="Courier New" w:hAnsi="Courier New"/>
          <w:sz w:val="18"/>
          <w:szCs w:val="18"/>
        </w:rPr>
        <w:t xml:space="preserve">·原告:送达了相关的。</w:t>
      </w:r>
    </w:p>
    <w:p>
      <w:pPr>
        <w:spacing w:after="60"/>
        <w:ind w:left="360"/>
      </w:pPr>
      <w:r>
        <w:rPr>
          <w:rFonts w:ascii="Courier New" w:cs="Courier New" w:eastAsia="Courier New" w:hAnsi="Courier New"/>
          <w:sz w:val="18"/>
          <w:szCs w:val="18"/>
        </w:rPr>
        <w:t xml:space="preserve">  // ·Plaintiff: The relevant [documents] have been served.</w:t>
      </w:r>
    </w:p>
    <w:p>
      <w:pPr>
        <w:spacing w:after="60"/>
        <w:ind w:left="360"/>
      </w:pPr>
      <w:r>
        <w:rPr>
          <w:rFonts w:ascii="Courier New" w:cs="Courier New" w:eastAsia="Courier New" w:hAnsi="Courier New"/>
          <w:sz w:val="18"/>
          <w:szCs w:val="18"/>
        </w:rPr>
        <w:t xml:space="preserve">·审判长:告知了各方当事人。</w:t>
      </w:r>
    </w:p>
    <w:p>
      <w:pPr>
        <w:spacing w:after="60"/>
        <w:ind w:left="360"/>
      </w:pPr>
      <w:r>
        <w:rPr>
          <w:rFonts w:ascii="Courier New" w:cs="Courier New" w:eastAsia="Courier New" w:hAnsi="Courier New"/>
          <w:sz w:val="18"/>
          <w:szCs w:val="18"/>
        </w:rPr>
        <w:t xml:space="preserve">  // ·Presiding Judge: All parties have been informed.</w:t>
      </w:r>
    </w:p>
    <w:p>
      <w:pPr>
        <w:spacing w:after="120"/>
      </w:pPr>
    </w:p>
    <w:p>
      <w:pPr>
        <w:spacing w:after="120"/>
      </w:pPr>
      <w:r>
        <w:rPr>
          <w:rFonts w:ascii="Arial" w:cs="Arial" w:eastAsia="Arial" w:hAnsi="Arial"/>
          <w:b/>
          <w:bCs/>
          <w:sz w:val="22"/>
          <w:szCs w:val="22"/>
        </w:rPr>
        <w:t xml:space="preserve">Common speaker roles (发言角色):</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Chinese</w:t>
            </w:r>
          </w:p>
        </w:tc>
        <w:tc>
          <w:tcPr>
            <w:tcW w:type="dxa" w:w="2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Pinyin</w:t>
            </w:r>
          </w:p>
        </w:tc>
        <w:tc>
          <w:tcPr>
            <w:tcW w:type="dxa" w:w="2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English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审判长</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shěnpànzhǎng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Presiding Judge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原告</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yuángào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Plaintiff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被告</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bèigào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Defendant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公诉人</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gōngsùrén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Prosecutor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辩护人</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biànhùrén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Defense Counsel</w:t>
            </w:r>
          </w:p>
        </w:tc>
      </w:tr>
    </w:tbl>
    <w:p>
      <w:r>
        <w:br w:type="page"/>
      </w:r>
    </w:p>
    <w:p>
      <w:pPr>
        <w:pStyle w:val="Heading1"/>
      </w:pPr>
      <w:r>
        <w:t xml:space="preserve">5. File Inventory</w:t>
      </w:r>
    </w:p>
    <w:p>
      <w:pPr>
        <w:pStyle w:val="Heading2"/>
      </w:pPr>
      <w:r>
        <w:t xml:space="preserve">5.1 Beginner Track (论辩理解入门赛数据集/)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200"/>
        <w:gridCol w:w="4560"/>
      </w:tblGrid>
      <w:tr>
        <w:tc>
          <w:tcPr>
            <w:tcW w:type="dxa" w:w="26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5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train_text.jsonl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32,125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9.5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sentences from judgment documents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train_entry.jsonl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argument pair entries (with answer labels)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test_text.jsonl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sentences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test_entry.jsonl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MB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argument pairs (no answer labels)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readme.md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 KB</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format documentation (Chinese)</w:t>
            </w:r>
          </w:p>
        </w:tc>
      </w:tr>
    </w:tbl>
    <w:p>
      <w:pPr>
        <w:spacing w:after="120"/>
      </w:pPr>
    </w:p>
    <w:p>
      <w:pPr>
        <w:spacing w:after="120"/>
      </w:pPr>
      <w:r>
        <w:rPr>
          <w:rFonts w:ascii="Arial" w:cs="Arial" w:eastAsia="Arial" w:hAnsi="Arial"/>
          <w:b/>
          <w:bCs/>
          <w:sz w:val="22"/>
          <w:szCs w:val="22"/>
        </w:rPr>
        <w:t xml:space="preserve">Causes of action (案由):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Split</w:t>
            </w:r>
          </w:p>
        </w:tc>
        <w:tc>
          <w:tcPr>
            <w:tcW w:type="dxa" w:w="4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Causes (CN)</w:t>
            </w:r>
          </w:p>
        </w:tc>
        <w:tc>
          <w:tcPr>
            <w:tcW w:type="dxa" w:w="39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Causes (EN)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故意伤害罪、交通肇事罪、抢劫罪、虐待罪、海事海商纠纷、生命权/身体权/健康权纠纷</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Intentional injury, traffic accident, robbery, abuse, maritime disputes, right to life/body/health disputes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强奸罪、诈骗罪、买卖合同纠纷</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Rape, fraud, sales contract disputes</w:t>
            </w:r>
          </w:p>
        </w:tc>
      </w:tr>
    </w:tbl>
    <w:p>
      <w:pPr>
        <w:spacing w:after="200"/>
      </w:pPr>
    </w:p>
    <w:p>
      <w:pPr>
        <w:pStyle w:val="Heading2"/>
      </w:pPr>
      <w:r>
        <w:t xml:space="preserve">5.2 Invitation Track (论辩理解邀请赛数据集/)</w:t>
      </w:r>
    </w:p>
    <w:p>
      <w:pPr>
        <w:pStyle w:val="Heading3"/>
      </w:pPr>
      <w:r>
        <w:t xml:space="preserve">5.2.1 Single-Modal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3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train_text.jsonl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MB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sentences from trial transcripts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train_pair.jsonl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159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Training argument pairs (sc_id, bc_id references)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dirty_train_text.jsonl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24,578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7.3 MB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Supplementary training sentences (from beginner track)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dirty_train_pair.jsonl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Supplementary training pairs (incomplete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test_text.jsonl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12,634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MB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sentences (both single-modal and multimodal tasks)</w:t>
            </w:r>
          </w:p>
        </w:tc>
      </w:tr>
    </w:tbl>
    <w:p>
      <w:pPr>
        <w:spacing w:after="200"/>
      </w:pPr>
    </w:p>
    <w:p>
      <w:pPr>
        <w:pStyle w:val="Heading3"/>
      </w:pPr>
      <w:r>
        <w:t xml:space="preserve">5.2.2 Multimodal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c>
          <w:tcPr>
            <w:tcW w:type="dxa" w:w="2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Lines</w:t>
            </w:r>
          </w:p>
        </w:tc>
        <w:tc>
          <w:tcPr>
            <w:tcW w:type="dxa" w:w="1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Size</w:t>
            </w:r>
          </w:p>
        </w:tc>
        <w:tc>
          <w:tcPr>
            <w:tcW w:type="dxa" w:w="43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multi_train_text.jsonl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186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Multimodal training sentences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multi_train_pair.jsonl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9.1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Multimodal training pairs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multi_test_text.jsonl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263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Multimodal test sentences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readme.md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 KB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 format documentation (Chinese)</w:t>
            </w:r>
          </w:p>
        </w:tc>
      </w:tr>
    </w:tbl>
    <w:p>
      <w:pPr>
        <w:spacing w:after="120"/>
      </w:pPr>
    </w:p>
    <w:p>
      <w:pPr>
        <w:spacing w:after="120"/>
      </w:pPr>
      <w:r>
        <w:rPr>
          <w:rFonts w:ascii="Arial" w:cs="Arial" w:eastAsia="Arial" w:hAnsi="Arial"/>
          <w:b/>
          <w:bCs/>
          <w:sz w:val="22"/>
          <w:szCs w:val="22"/>
        </w:rPr>
        <w:t xml:space="preserve">Causes of action (案由):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Split</w:t>
            </w:r>
          </w:p>
        </w:tc>
        <w:tc>
          <w:tcPr>
            <w:tcW w:type="dxa" w:w="358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Causes (CN)</w:t>
            </w:r>
          </w:p>
        </w:tc>
        <w:tc>
          <w:tcPr>
            <w:tcW w:type="dxa" w:w="358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Causes (EN)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 (primary)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抢劫罪、生命权/身体权/健康权纠纷</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Robbery, right to life/body/health disputes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 (dirty/suppl.)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交通肇事罪、故意伤害罪、海事海商纠纷、虐待罪</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Traffic accident, intentional injury, maritime disputes, abuse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Multi-modal train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买卖合同纠纷、诈骗罪</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contract disputes, fraud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(text-only)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故意杀人罪、盗窃罪、借款合同纠纷、离婚纠纷</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Intentional homicide, theft, loan contract disputes, divorce disputes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(multimodal)</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借款合同纠纷、离婚纠纷</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 contract disputes, divorce disputes</w:t>
            </w:r>
          </w:p>
        </w:tc>
      </w:tr>
    </w:tbl>
    <w:p>
      <w:pPr>
        <w:spacing w:after="200"/>
      </w:pPr>
    </w:p>
    <w:p>
      <w:pPr>
        <w:pStyle w:val="Heading2"/>
      </w:pPr>
      <w:r>
        <w:t xml:space="preserve">5.3 Multimodal Audio &amp; Transcripts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71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 (audio)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audio_archive/&lt;text_id&gt;/&lt;text_id&gt;.wav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Location (text)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test/&lt;text_id&gt;/textres.txt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cases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audio size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~6.1 GB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audio duration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~52.9 hours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Audio format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PCM WAV, 16-bit, mono, 16 kHz</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Transcript encoding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UTF-8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Mapping</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text_id in multi_test_text.jsonl = folder name in test/ and audio_archive/</w:t>
            </w:r>
          </w:p>
        </w:tc>
      </w:tr>
    </w:tbl>
    <w:p>
      <w:pPr>
        <w:spacing w:after="120"/>
      </w:pPr>
    </w:p>
    <w:p>
      <w:pPr>
        <w:spacing w:after="120"/>
      </w:pPr>
      <w:r>
        <w:rPr>
          <w:rFonts w:ascii="Arial" w:cs="Arial" w:eastAsia="Arial" w:hAnsi="Arial"/>
          <w:sz w:val="22"/>
          <w:szCs w:val="22"/>
        </w:rPr>
        <w:t xml:space="preserve">The 61 multimodal test cases correspond 1:1 with the text_id values in multi_test_text.jsonl from the invitation track dataset.</w:t>
      </w:r>
    </w:p>
    <w:p>
      <w:r>
        <w:br w:type="page"/>
      </w:r>
    </w:p>
    <w:p>
      <w:pPr>
        <w:pStyle w:val="Heading1"/>
      </w:pPr>
      <w:r>
        <w:t xml:space="preserve">6. Annotation Details</w:t>
      </w:r>
    </w:p>
    <w:p>
      <w:pPr>
        <w:spacing w:after="120"/>
      </w:pPr>
      <w:r>
        <w:rPr>
          <w:rFonts w:ascii="Arial" w:cs="Arial" w:eastAsia="Arial" w:hAnsi="Arial"/>
          <w:b/>
          <w:bCs/>
          <w:sz w:val="22"/>
          <w:szCs w:val="22"/>
        </w:rPr>
        <w:t xml:space="preserve">Annotators: </w:t>
      </w:r>
      <w:r>
        <w:rPr>
          <w:rFonts w:ascii="Arial" w:cs="Arial" w:eastAsia="Arial" w:hAnsi="Arial"/>
          <w:sz w:val="22"/>
          <w:szCs w:val="22"/>
        </w:rPr>
        <w:t xml:space="preserve">Law students with graduate training.</w:t>
      </w:r>
    </w:p>
    <w:p>
      <w:pPr>
        <w:spacing w:after="120"/>
      </w:pPr>
      <w:r>
        <w:rPr>
          <w:rFonts w:ascii="Arial" w:cs="Arial" w:eastAsia="Arial" w:hAnsi="Arial"/>
          <w:b/>
          <w:bCs/>
          <w:sz w:val="22"/>
          <w:szCs w:val="22"/>
        </w:rPr>
        <w:t xml:space="preserve">Process: </w:t>
      </w:r>
      <w:r>
        <w:rPr>
          <w:rFonts w:ascii="Arial" w:cs="Arial" w:eastAsia="Arial" w:hAnsi="Arial"/>
          <w:sz w:val="22"/>
          <w:szCs w:val="22"/>
        </w:rPr>
        <w:t xml:space="preserve">Dual annotation (two independent annotators per document). Disagreements adjudicated by a law professor.</w:t>
      </w:r>
    </w:p>
    <w:p>
      <w:pPr>
        <w:spacing w:after="120"/>
      </w:pPr>
      <w:r>
        <w:rPr>
          <w:rFonts w:ascii="Arial" w:cs="Arial" w:eastAsia="Arial" w:hAnsi="Arial"/>
          <w:b/>
          <w:bCs/>
          <w:sz w:val="22"/>
          <w:szCs w:val="22"/>
        </w:rPr>
        <w:t xml:space="preserve">Inter-annotator agreement: </w:t>
      </w:r>
      <w:r>
        <w:rPr>
          <w:rFonts w:ascii="Arial" w:cs="Arial" w:eastAsia="Arial" w:hAnsi="Arial"/>
          <w:sz w:val="22"/>
          <w:szCs w:val="22"/>
        </w:rPr>
        <w:t xml:space="preserve">Cohen’s kappa ranged from 0.15 to 0.28 across causes of action (average ~0.24), reflecting the inherent difficulty and subjectivity of the task.</w:t>
      </w:r>
    </w:p>
    <w:p>
      <w:pPr>
        <w:pStyle w:val="Heading2"/>
      </w:pPr>
      <w:r>
        <w:t xml:space="preserve">6.1 Concept: Interacting Argument Pairs (互动论点对)</w:t>
      </w:r>
    </w:p>
    <w:p>
      <w:pPr>
        <w:spacing w:after="120"/>
      </w:pPr>
      <w:r>
        <w:rPr>
          <w:rFonts w:ascii="Arial" w:cs="Arial" w:eastAsia="Arial" w:hAnsi="Arial"/>
          <w:sz w:val="22"/>
          <w:szCs w:val="22"/>
        </w:rPr>
        <w:t xml:space="preserve">An interacting argument pair consists of two arguments from opposing sides (prosecution/plaintiff vs. defense) that argue over the same subject. This includes:</w:t>
      </w:r>
    </w:p>
    <w:p>
      <w:pPr>
        <w:pStyle w:val="ListParagraph"/>
        <w:numPr>
          <w:ilvl w:val="0"/>
          <w:numId w:val="5"/>
        </w:numPr>
        <w:spacing w:after="60"/>
      </w:pPr>
      <w:r>
        <w:rPr>
          <w:rFonts w:ascii="Arial" w:cs="Arial" w:eastAsia="Arial" w:hAnsi="Arial"/>
          <w:b/>
          <w:bCs/>
          <w:sz w:val="22"/>
          <w:szCs w:val="22"/>
        </w:rPr>
        <w:t xml:space="preserve">Disagreement pairs (争议对): </w:t>
      </w:r>
      <w:r>
        <w:rPr>
          <w:rFonts w:ascii="Arial" w:cs="Arial" w:eastAsia="Arial" w:hAnsi="Arial"/>
          <w:sz w:val="22"/>
          <w:szCs w:val="22"/>
        </w:rPr>
        <w:t xml:space="preserve">The defense disputes or contradicts the plaintiff’s claim.</w:t>
      </w:r>
    </w:p>
    <w:p>
      <w:pPr>
        <w:pStyle w:val="ListParagraph"/>
        <w:numPr>
          <w:ilvl w:val="0"/>
          <w:numId w:val="5"/>
        </w:numPr>
        <w:spacing w:after="60"/>
      </w:pPr>
      <w:r>
        <w:rPr>
          <w:rFonts w:ascii="Arial" w:cs="Arial" w:eastAsia="Arial" w:hAnsi="Arial"/>
          <w:b/>
          <w:bCs/>
          <w:sz w:val="22"/>
          <w:szCs w:val="22"/>
        </w:rPr>
        <w:t xml:space="preserve">Agreement pairs (认可对): </w:t>
      </w:r>
      <w:r>
        <w:rPr>
          <w:rFonts w:ascii="Arial" w:cs="Arial" w:eastAsia="Arial" w:hAnsi="Arial"/>
          <w:sz w:val="22"/>
          <w:szCs w:val="22"/>
        </w:rPr>
        <w:t xml:space="preserve">The defense fully acknowledges the plaintiff’s argument.</w:t>
      </w:r>
    </w:p>
    <w:p>
      <w:pPr>
        <w:spacing w:after="120"/>
      </w:pPr>
      <w:r>
        <w:rPr>
          <w:rFonts w:ascii="Arial" w:cs="Arial" w:eastAsia="Arial" w:hAnsi="Arial"/>
          <w:sz w:val="22"/>
          <w:szCs w:val="22"/>
        </w:rPr>
        <w:t xml:space="preserve">The annotations do not distinguish between these subtypes; they only indicate whether a pair is interacting or not (binary).</w:t>
      </w:r>
    </w:p>
    <w:p>
      <w:pPr>
        <w:pStyle w:val="Heading1"/>
      </w:pPr>
      <w:r>
        <w:t xml:space="preserve">7. Dataset Statistics</w:t>
      </w:r>
    </w:p>
    <w:p>
      <w:pPr>
        <w:pStyle w:val="Heading2"/>
      </w:pPr>
      <w:r>
        <w:t xml:space="preserve">7.1 Overall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21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CAIL 2021</w:t>
            </w:r>
          </w:p>
        </w:tc>
        <w:tc>
          <w:tcPr>
            <w:tcW w:type="dxa" w:w="21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CAIL 2023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1,872</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3,620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Argument Pairs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10,077</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20,009</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Pair Density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6.60%</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8.88%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Causes of Action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Criminal Cases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1,304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2,291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Civil Cases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1,329</w:t>
            </w:r>
          </w:p>
        </w:tc>
      </w:tr>
    </w:tbl>
    <w:p>
      <w:pPr>
        <w:spacing w:after="200"/>
      </w:pPr>
    </w:p>
    <w:p>
      <w:pPr>
        <w:pStyle w:val="Heading2"/>
      </w:pPr>
      <w:r>
        <w:t xml:space="preserve">7.2 Beginner Track Split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tblGrid>
      <w:tr>
        <w:tc>
          <w:tcPr>
            <w:tcW w:type="dxa" w:w="2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Split</w:t>
            </w:r>
          </w:p>
        </w:tc>
        <w:tc>
          <w:tcPr>
            <w:tcW w:type="dxa" w:w="1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Sentences</w:t>
            </w:r>
          </w:p>
        </w:tc>
        <w:tc>
          <w:tcPr>
            <w:tcW w:type="dxa" w:w="1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Arg. Pairs</w:t>
            </w:r>
          </w:p>
        </w:tc>
        <w:tc>
          <w:tcPr>
            <w:tcW w:type="dxa" w:w="14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32,125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1,932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2,490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652</w:t>
            </w:r>
          </w:p>
        </w:tc>
      </w:tr>
    </w:tbl>
    <w:p>
      <w:pPr>
        <w:spacing w:after="200"/>
      </w:pPr>
    </w:p>
    <w:p>
      <w:pPr>
        <w:pStyle w:val="Heading1"/>
      </w:pPr>
      <w:r>
        <w:t xml:space="preserve">8. Baseline &amp; Top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800"/>
        <w:gridCol w:w="1560"/>
      </w:tblGrid>
      <w:tr>
        <w:tc>
          <w:tcPr>
            <w:tcW w:type="dxa" w:w="22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1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S1 (Acc)</w:t>
            </w:r>
          </w:p>
        </w:tc>
        <w:tc>
          <w:tcPr>
            <w:tcW w:type="dxa" w:w="20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S2 (F1 multi)</w:t>
            </w:r>
          </w:p>
        </w:tc>
        <w:tc>
          <w:tcPr>
            <w:tcW w:type="dxa" w:w="18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S2 (F1 text)</w:t>
            </w:r>
          </w:p>
        </w:tc>
        <w:tc>
          <w:tcPr>
            <w:tcW w:type="dxa" w:w="156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S (Overall)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BERT baseline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Top team (DUT-large)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0.50 (S2)</w:t>
            </w:r>
          </w:p>
        </w:tc>
      </w:tr>
    </w:tbl>
    <w:p>
      <w:pPr>
        <w:spacing w:after="200"/>
      </w:pPr>
    </w:p>
    <w:p>
      <w:pPr>
        <w:pStyle w:val="Heading1"/>
      </w:pPr>
      <w:r>
        <w:t xml:space="preserve">9. Citation</w:t>
      </w:r>
    </w:p>
    <w:p>
      <w:pPr>
        <w:spacing w:after="120"/>
      </w:pPr>
      <w:r>
        <w:rPr>
          <w:rFonts w:ascii="Arial" w:cs="Arial" w:eastAsia="Arial" w:hAnsi="Arial"/>
          <w:sz w:val="22"/>
          <w:szCs w:val="22"/>
        </w:rPr>
        <w:t xml:space="preserve">If you use this dataset, please cite:</w:t>
      </w:r>
    </w:p>
    <w:p>
      <w:pPr>
        <w:spacing w:after="60"/>
        <w:ind w:left="360"/>
      </w:pPr>
      <w:r>
        <w:rPr>
          <w:rFonts w:ascii="Courier New" w:cs="Courier New" w:eastAsia="Courier New" w:hAnsi="Courier New"/>
          <w:sz w:val="18"/>
          <w:szCs w:val="18"/>
        </w:rPr>
        <w:t xml:space="preserve">Liang, J., Wang, J., Zhai, X., Zhuang, Y., Zheng, Y., Xu, X., ... &amp; Wei, Z.</w:t>
      </w:r>
    </w:p>
    <w:p>
      <w:pPr>
        <w:spacing w:after="60"/>
        <w:ind w:left="360"/>
      </w:pPr>
      <w:r>
        <w:rPr>
          <w:rFonts w:ascii="Courier New" w:cs="Courier New" w:eastAsia="Courier New" w:hAnsi="Courier New"/>
          <w:sz w:val="18"/>
          <w:szCs w:val="18"/>
        </w:rPr>
        <w:t xml:space="preserve">"Overview of the CAIL 2023 Argument Mining Track."</w:t>
      </w:r>
    </w:p>
    <w:p>
      <w:pPr>
        <w:spacing w:after="60"/>
        <w:ind w:left="360"/>
      </w:pPr>
      <w:r>
        <w:rPr>
          <w:rFonts w:ascii="Courier New" w:cs="Courier New" w:eastAsia="Courier New" w:hAnsi="Courier New"/>
          <w:sz w:val="18"/>
          <w:szCs w:val="18"/>
        </w:rPr>
        <w:t xml:space="preserve">In Proceedings of the CAIL 2023, 2024.</w:t>
      </w:r>
    </w:p>
    <w:p>
      <w:pPr>
        <w:spacing w:after="60"/>
        <w:ind w:left="360"/>
      </w:pPr>
      <w:r>
        <w:rPr>
          <w:rFonts w:ascii="Courier New" w:cs="Courier New" w:eastAsia="Courier New" w:hAnsi="Courier New"/>
          <w:sz w:val="18"/>
          <w:szCs w:val="18"/>
        </w:rPr>
        <w:t xml:space="preserve">arXiv: 2406.14503</w:t>
      </w:r>
    </w:p>
    <w:p>
      <w:pPr>
        <w:spacing w:after="200"/>
      </w:pPr>
    </w:p>
    <w:p>
      <w:pPr>
        <w:pStyle w:val="Heading1"/>
      </w:pPr>
      <w:r>
        <w:t xml:space="preserve">10. Glossary of Key Chinese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Chinese</w:t>
            </w:r>
          </w:p>
        </w:tc>
        <w:tc>
          <w:tcPr>
            <w:tcW w:type="dxa" w:w="338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Pinyin</w:t>
            </w:r>
          </w:p>
        </w:tc>
        <w:tc>
          <w:tcPr>
            <w:tcW w:type="dxa" w:w="3380"/>
            <w:tcBorders>
              <w:top w:val="single" w:color="2E6DA4" w:sz="1"/>
              <w:left w:val="single" w:color="2E6DA4" w:sz="1"/>
              <w:bottom w:val="single" w:color="2E6DA4" w:sz="1"/>
              <w:right w:val="single" w:color="2E6DA4" w:sz="1"/>
            </w:tcBorders>
            <w:shd w:fill="2E6DA4" w:val="clear"/>
            <w:tcMar>
              <w:top w:type="dxa" w:w="60"/>
              <w:left w:type="dxa" w:w="100"/>
              <w:bottom w:type="dxa" w:w="60"/>
              <w:right w:type="dxa" w:w="100"/>
            </w:tcMar>
            <w:vAlign w:val="center"/>
          </w:tcPr>
          <w:p>
            <w:r>
              <w:rPr>
                <w:rFonts w:ascii="Arial" w:cs="Arial" w:eastAsia="Arial" w:hAnsi="Arial"/>
                <w:b/>
                <w:bCs/>
                <w:color w:val="FFFFFF"/>
                <w:sz w:val="20"/>
                <w:szCs w:val="20"/>
              </w:rPr>
              <w:t xml:space="preserve">English</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论辩理解</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lùnbiàn lǐjiě</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Argument understanding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入门赛</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rùmén sài</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Beginner track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邀请赛</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yāoqǐng sài</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Invitation track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裁判文书</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cáipàn wénshū</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Judgment document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庭审笔录</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tíngshěn bǐlù</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 transcript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诉方 (sc)</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sùfāng</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Prosecution / plaintiff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辩方 (bc)</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biànfāng</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Defense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互动论点对</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hùdòng lùndiǎn duì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Interacting argument pair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刑事</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xíngshì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Criminal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民事</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mínshì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Civil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罪名</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zuìmíng</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Criminal charge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案由</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ànyóu</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Cause of action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故意伤害罪</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gùyì shānghài zuì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Intentional injury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抢劫罪</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qiāngjié zuì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Robbery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诈骗罪</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zhàpiàn zuì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Fraud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盗窃罪</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dàoqiè zuì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Theft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故意杀人罪</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gùyì shārén zuì</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Intentional homicide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借款合同纠纷</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jièkuǎn hétong jiūfēn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Loan contract disputes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离婚纠纷</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líhūn jiūfēn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Divorce disputes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CAIL 2023 ArgMine Dataset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8B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cwdb9punbejwgrxwgu8t" Type="http://schemas.openxmlformats.org/officeDocument/2006/relationships/hyperlink" Target="https://arxiv.org/abs/2406.14503"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2026-02-27T19:53:27.977Z</dcterms:created>
  <dcterms:modified xsi:type="dcterms:W3CDTF">2026-02-27T19:53:27.977Z</dcterms:modified>
</cp:coreProperties>
</file>

<file path=docProps/custom.xml><?xml version="1.0" encoding="utf-8"?>
<Properties xmlns="http://schemas.openxmlformats.org/officeDocument/2006/custom-properties" xmlns:vt="http://schemas.openxmlformats.org/officeDocument/2006/docPropsVTypes"/>
</file>