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7.png" ContentType="image/png"/>
  <Override PartName="/word/media/rId33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bbd6d9996dbcaabef4ffd6bae14f2dda51396c2"/>
    <w:p>
      <w:pPr>
        <w:pStyle w:val="Heading1"/>
      </w:pPr>
      <w:r>
        <w:t xml:space="preserve">Supervised BERT Baselines for Argumentation Tasks</w:t>
      </w:r>
    </w:p>
    <w:bookmarkStart w:id="20" w:name="motivation"/>
    <w:p>
      <w:pPr>
        <w:pStyle w:val="Heading2"/>
      </w:pPr>
      <w:r>
        <w:t xml:space="preserve">1. Motivation</w:t>
      </w:r>
    </w:p>
    <w:p>
      <w:pPr>
        <w:pStyle w:val="FirstParagraph"/>
      </w:pPr>
      <w:r>
        <w:t xml:space="preserve">Our LLM-based experiments on two argumentation tasks — argument relation classification (Persuasive Essays) and tort prediction (JTD) — show that performance on these subtasks remains limited. To contextualize these results, we finetune BERT models as supervised baselines. The goal is twofold: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Gauge the difficulty</w:t>
      </w:r>
      <w:r>
        <w:t xml:space="preserve"> </w:t>
      </w:r>
      <w:r>
        <w:t xml:space="preserve">of each subtask by measuring how well a model with direct access to labeled training data can perform.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Identify the nature of the bottleneck</w:t>
      </w:r>
      <w:r>
        <w:t xml:space="preserve">: if a supervised model with full training data still underperforms LLMs (which operate zero/few-shot), this indicates the task requires reasoning beyond statistical pattern matching.</w:t>
      </w:r>
    </w:p>
    <w:bookmarkEnd w:id="20"/>
    <w:bookmarkStart w:id="31" w:name="Xccc883513c977b0f5e9c2a99a2efa72fc613924"/>
    <w:p>
      <w:pPr>
        <w:pStyle w:val="Heading2"/>
      </w:pPr>
      <w:r>
        <w:t xml:space="preserve">2. Task 1: Essay Argument Relation Classification</w:t>
      </w:r>
    </w:p>
    <w:bookmarkStart w:id="21" w:name="task-formulation"/>
    <w:p>
      <w:pPr>
        <w:pStyle w:val="Heading3"/>
      </w:pPr>
      <w:r>
        <w:t xml:space="preserve">2.1 Task Formulation</w:t>
      </w:r>
    </w:p>
    <w:p>
      <w:pPr>
        <w:pStyle w:val="FirstParagraph"/>
      </w:pPr>
      <w:r>
        <w:t xml:space="preserve">Given an essay and a pair of gold argument spans, classify the directed relation between them as</w:t>
      </w:r>
      <w:r>
        <w:t xml:space="preserve"> </w:t>
      </w:r>
      <w:r>
        <w:rPr>
          <w:bCs/>
          <w:b/>
        </w:rPr>
        <w:t xml:space="preserve">support</w:t>
      </w:r>
      <w:r>
        <w:t xml:space="preserve">,</w:t>
      </w:r>
      <w:r>
        <w:t xml:space="preserve"> </w:t>
      </w:r>
      <w:r>
        <w:rPr>
          <w:bCs/>
          <w:b/>
        </w:rPr>
        <w:t xml:space="preserve">attack</w:t>
      </w:r>
      <w:r>
        <w:t xml:space="preserve">, or</w:t>
      </w:r>
      <w:r>
        <w:t xml:space="preserve"> </w:t>
      </w:r>
      <w:r>
        <w:rPr>
          <w:bCs/>
          <w:b/>
        </w:rPr>
        <w:t xml:space="preserve">none</w:t>
      </w:r>
      <w:r>
        <w:t xml:space="preserve">. This isolates relation classification from argument identification, matching the</w:t>
      </w:r>
      <w:r>
        <w:t xml:space="preserve"> </w:t>
      </w:r>
      <w:r>
        <w:rPr>
          <w:rStyle w:val="VerbatimChar"/>
        </w:rPr>
        <w:t xml:space="preserve">gold_fs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gold_zs</w:t>
      </w:r>
      <w:r>
        <w:t xml:space="preserve"> </w:t>
      </w:r>
      <w:r>
        <w:t xml:space="preserve">conditions in our LLM experiments.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Dataset</w:t>
      </w:r>
      <w:r>
        <w:t xml:space="preserve">: Persuasive Essays v2 (AAEC). 322 train / 80 test essays.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Training pairs</w:t>
      </w:r>
      <w:r>
        <w:t xml:space="preserve">: All ordered pairs of gold arguments per essay, with none-class subsampling (ratio 3:1).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Class distribution (test)</w:t>
      </w:r>
      <w:r>
        <w:t xml:space="preserve">: 96.0% none, 3.8% support, 0.2% attack — extreme imbalance.</w:t>
      </w:r>
    </w:p>
    <w:bookmarkEnd w:id="21"/>
    <w:bookmarkStart w:id="25" w:name="model-design-entity-marker-bert"/>
    <w:p>
      <w:pPr>
        <w:pStyle w:val="Heading3"/>
      </w:pPr>
      <w:r>
        <w:t xml:space="preserve">2.2 Model Design: Entity-Marker BERT</w:t>
      </w:r>
    </w:p>
    <w:p>
      <w:pPr>
        <w:pStyle w:val="FirstParagraph"/>
      </w:pPr>
      <w:r>
        <w:t xml:space="preserve">A critical design insight emerged from our initial experiments:</w:t>
      </w:r>
      <w:r>
        <w:t xml:space="preserve"> </w:t>
      </w:r>
      <w:r>
        <w:rPr>
          <w:bCs/>
          <w:b/>
        </w:rPr>
        <w:t xml:space="preserve">argument position within the essay is a strong discriminative feature</w:t>
      </w:r>
      <w:r>
        <w:t xml:space="preserve"> </w:t>
      </w:r>
      <w:r>
        <w:t xml:space="preserve">(related pairs are 2.8x closer in character distance than unrelated pairs). A naive input format that places the essay in one segment and the arguments in another prevents BERT from exploiting this signal, since it cannot easily perform cross-segment substring matching.</w:t>
      </w:r>
    </w:p>
    <w:p>
      <w:pPr>
        <w:pStyle w:val="BodyText"/>
      </w:pPr>
      <w:r>
        <w:t xml:space="preserve">We adopt the</w:t>
      </w:r>
      <w:r>
        <w:t xml:space="preserve"> </w:t>
      </w:r>
      <w:r>
        <w:rPr>
          <w:bCs/>
          <w:b/>
        </w:rPr>
        <w:t xml:space="preserve">entity-marker approach</w:t>
      </w:r>
      <w:r>
        <w:t xml:space="preserve"> </w:t>
      </w:r>
      <w:r>
        <w:t xml:space="preserve">from NLP relation extraction (Baldini Soares et al., 2019): arguments are marked in-place within the essay using special tokens</w:t>
      </w:r>
      <w:r>
        <w:t xml:space="preserve"> </w:t>
      </w:r>
      <w:r>
        <w:rPr>
          <w:rStyle w:val="VerbatimChar"/>
        </w:rPr>
        <w:t xml:space="preserve">[E1]</w:t>
      </w:r>
      <w:r>
        <w:t xml:space="preserve">/</w:t>
      </w:r>
      <w:r>
        <w:rPr>
          <w:rStyle w:val="VerbatimChar"/>
        </w:rPr>
        <w:t xml:space="preserve">[/E1]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[E2]</w:t>
      </w:r>
      <w:r>
        <w:t xml:space="preserve">/</w:t>
      </w:r>
      <w:r>
        <w:rPr>
          <w:rStyle w:val="VerbatimChar"/>
        </w:rPr>
        <w:t xml:space="preserve">[/E2]</w:t>
      </w:r>
      <w:r>
        <w:t xml:space="preserve">.</w:t>
      </w:r>
    </w:p>
    <w:p>
      <w:pPr>
        <w:pStyle w:val="CaptionedFigure"/>
      </w:pPr>
      <w:r>
        <w:drawing>
          <wp:inline>
            <wp:extent cx="5334000" cy="2414494"/>
            <wp:effectExtent b="0" l="0" r="0" t="0"/>
            <wp:docPr descr="Entity-Marker BERT Architecture" title="" id="23" name="Picture"/>
            <a:graphic>
              <a:graphicData uri="http://schemas.openxmlformats.org/drawingml/2006/picture">
                <pic:pic>
                  <pic:nvPicPr>
                    <pic:cNvPr descr="figures/essay_bert_architect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4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Entity-Marker BERT Architecture</w:t>
      </w:r>
    </w:p>
    <w:p>
      <w:pPr>
        <w:pStyle w:val="BodyText"/>
      </w:pPr>
      <w:r>
        <w:rPr>
          <w:bCs/>
          <w:b/>
        </w:rPr>
        <w:t xml:space="preserve">Input format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[CLS] ...essay text... [E1] arg₁ text [/E1] ...essay text... [E2] arg₂ text [/E2] ...essay... [SEP]</w:t>
      </w:r>
    </w:p>
    <w:p>
      <w:pPr>
        <w:pStyle w:val="FirstParagraph"/>
      </w:pPr>
      <w:r>
        <w:rPr>
          <w:bCs/>
          <w:b/>
        </w:rPr>
        <w:t xml:space="preserve">Key design choices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Window trimming</w:t>
      </w:r>
      <w:r>
        <w:t xml:space="preserve">: When the marked essay exceeds 512 tokens, we trim to a window centered on the two argument spans, preserving the discourse context between them.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Inverse-frequency class weights</w:t>
      </w:r>
      <w:r>
        <w:t xml:space="preserve">: Without class weighting, the model collapses to always predicting the majority class (none). An ablation (entity markers + no class weights) confirmed this: the model achieved 0.000 relation macro F1 across all 10 epochs.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Special tokens</w:t>
      </w:r>
      <w:r>
        <w:t xml:space="preserve">:</w:t>
      </w:r>
      <w:r>
        <w:t xml:space="preserve"> </w:t>
      </w:r>
      <w:r>
        <w:rPr>
          <w:rStyle w:val="VerbatimChar"/>
        </w:rPr>
        <w:t xml:space="preserve">[E1]</w:t>
      </w:r>
      <w:r>
        <w:t xml:space="preserve">,</w:t>
      </w:r>
      <w:r>
        <w:t xml:space="preserve"> </w:t>
      </w:r>
      <w:r>
        <w:rPr>
          <w:rStyle w:val="VerbatimChar"/>
        </w:rPr>
        <w:t xml:space="preserve">[/E1]</w:t>
      </w:r>
      <w:r>
        <w:t xml:space="preserve">,</w:t>
      </w:r>
      <w:r>
        <w:t xml:space="preserve"> </w:t>
      </w:r>
      <w:r>
        <w:rPr>
          <w:rStyle w:val="VerbatimChar"/>
        </w:rPr>
        <w:t xml:space="preserve">[E2]</w:t>
      </w:r>
      <w:r>
        <w:t xml:space="preserve">,</w:t>
      </w:r>
      <w:r>
        <w:t xml:space="preserve"> </w:t>
      </w:r>
      <w:r>
        <w:rPr>
          <w:rStyle w:val="VerbatimChar"/>
        </w:rPr>
        <w:t xml:space="preserve">[/E2]</w:t>
      </w:r>
      <w:r>
        <w:t xml:space="preserve"> </w:t>
      </w:r>
      <w:r>
        <w:t xml:space="preserve">are added to the vocabulary and BERT’s embedding matrix is resized accordingly.</w:t>
      </w:r>
    </w:p>
    <w:bookmarkEnd w:id="25"/>
    <w:bookmarkStart w:id="29" w:name="results"/>
    <w:p>
      <w:pPr>
        <w:pStyle w:val="Heading3"/>
      </w:pPr>
      <w:r>
        <w:t xml:space="preserve">2.3 Results</w:t>
      </w:r>
    </w:p>
    <w:p>
      <w:pPr>
        <w:pStyle w:val="FirstParagraph"/>
      </w:pPr>
      <w:r>
        <w:rPr>
          <w:bCs/>
          <w:b/>
        </w:rPr>
        <w:t xml:space="preserve">Metric</w:t>
      </w:r>
      <w:r>
        <w:t xml:space="preserve">: Relation Macro F1 = mean(Support F1, Attack F1), micro-aggregated (pool TP/FP/FN across all 80 test essays, then compute per-type F1).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93"/>
        <w:gridCol w:w="1939"/>
        <w:gridCol w:w="1777"/>
        <w:gridCol w:w="29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 F1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 Macro 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(always-support)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BERT (entity markers, no weights)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BERT (entity markers, weighted)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LLM: GPT-5 mini (gold_fs)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LLM: GPT-5.2 (gold_fs)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LLM: Claude Haiku 4.5 (gold_fs)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LLM: Claude Sonnet 4.5 (gold_fs)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LLM: Gemini 3 Flash (gold_fs)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0.392</w:t>
            </w:r>
          </w:p>
        </w:tc>
      </w:tr>
    </w:tbl>
    <w:p>
      <w:pPr>
        <w:pStyle w:val="CaptionedFigure"/>
      </w:pPr>
      <w:r>
        <w:drawing>
          <wp:inline>
            <wp:extent cx="5334000" cy="2636468"/>
            <wp:effectExtent b="0" l="0" r="0" t="0"/>
            <wp:docPr descr="Essay Results Comparison" title="" id="27" name="Picture"/>
            <a:graphic>
              <a:graphicData uri="http://schemas.openxmlformats.org/drawingml/2006/picture">
                <pic:pic>
                  <pic:nvPicPr>
                    <pic:cNvPr descr="figures/essay_results_compariso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6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Essay Results Comparison</w:t>
      </w:r>
    </w:p>
    <w:p>
      <w:pPr>
        <w:pStyle w:val="BodyText"/>
      </w:pPr>
      <w:r>
        <w:rPr>
          <w:bCs/>
          <w:b/>
        </w:rPr>
        <w:t xml:space="preserve">Training dynamics</w:t>
      </w:r>
      <w:r>
        <w:t xml:space="preserve">: The entity-marker BERT model trained properly — val macro F1 improved from 0.000 (epoch 1) to 0.226 (epoch 9), with attack F1 appearing from epoch 6 onwards. The model learned to use positional cues to discriminate related from unrelated pairs, but with limited precision (13.9% for support).</w:t>
      </w:r>
    </w:p>
    <w:bookmarkEnd w:id="29"/>
    <w:bookmarkStart w:id="30" w:name="discussion"/>
    <w:p>
      <w:pPr>
        <w:pStyle w:val="Heading3"/>
      </w:pPr>
      <w:r>
        <w:t xml:space="preserve">2.4 Discussion</w:t>
      </w:r>
    </w:p>
    <w:p>
      <w:pPr>
        <w:pStyle w:val="FirstParagraph"/>
      </w:pPr>
      <w:r>
        <w:t xml:space="preserve">The supervised BERT baseline (0.172) substantially outperforms random (0.037, 4.6x improvement), confirming that entity markers enable learning of positional and contextual features. However,</w:t>
      </w:r>
      <w:r>
        <w:t xml:space="preserve"> </w:t>
      </w:r>
      <w:r>
        <w:rPr>
          <w:bCs/>
          <w:b/>
        </w:rPr>
        <w:t xml:space="preserve">all LLMs outperform BERT by a wide margin</w:t>
      </w:r>
      <w:r>
        <w:t xml:space="preserve"> </w:t>
      </w:r>
      <w:r>
        <w:t xml:space="preserve">(best LLM: 0.392, 2.3x BERT).</w:t>
      </w:r>
    </w:p>
    <w:p>
      <w:pPr>
        <w:pStyle w:val="BodyText"/>
      </w:pPr>
      <w:r>
        <w:t xml:space="preserve">This result is notable because BERT has a supervised advantage (282 labeled training essays) while LLMs operate with only 3 few-shot examples. The gap indicates that argument relation classification relies heavily on</w:t>
      </w:r>
      <w:r>
        <w:t xml:space="preserve"> </w:t>
      </w:r>
      <w:r>
        <w:rPr>
          <w:bCs/>
          <w:b/>
        </w:rPr>
        <w:t xml:space="preserve">semantic understanding of argumentation</w:t>
      </w:r>
      <w:r>
        <w:t xml:space="preserve"> </w:t>
      </w:r>
      <w:r>
        <w:t xml:space="preserve">— recognizing that</w:t>
      </w:r>
      <w:r>
        <w:t xml:space="preserve"> </w:t>
      </w:r>
      <w:r>
        <w:t xml:space="preserve">“</w:t>
      </w:r>
      <w:r>
        <w:t xml:space="preserve">lack of adequate controls</w:t>
      </w:r>
      <w:r>
        <w:t xml:space="preserve">”</w:t>
      </w:r>
      <w:r>
        <w:t xml:space="preserve"> </w:t>
      </w:r>
      <w:r>
        <w:t xml:space="preserve">supports</w:t>
      </w:r>
      <w:r>
        <w:t xml:space="preserve"> </w:t>
      </w:r>
      <w:r>
        <w:t xml:space="preserve">“</w:t>
      </w:r>
      <w:r>
        <w:t xml:space="preserve">negative impacts</w:t>
      </w:r>
      <w:r>
        <w:t xml:space="preserve">”</w:t>
      </w:r>
      <w:r>
        <w:t xml:space="preserve"> </w:t>
      </w:r>
      <w:r>
        <w:t xml:space="preserve">requires world knowledge about causal reasoning that BERT cannot acquire from ~10K training pairs.</w:t>
      </w:r>
    </w:p>
    <w:p>
      <w:pPr>
        <w:pStyle w:val="BodyText"/>
      </w:pPr>
      <w:r>
        <w:t xml:space="preserve">The BERT result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serve as a performance ceiling. Instead, it establishes a lower bound for what positional pattern matching alone can achieve, highlighting that the LLMs’ advantage comes from genuine discourse reasoning.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6" w:name="task-2-jtd-tort-prediction"/>
    <w:p>
      <w:pPr>
        <w:pStyle w:val="Heading2"/>
      </w:pPr>
      <w:r>
        <w:t xml:space="preserve">3. Task 2: JTD Tort Prediction</w:t>
      </w:r>
    </w:p>
    <w:bookmarkStart w:id="32" w:name="task-formulation-1"/>
    <w:p>
      <w:pPr>
        <w:pStyle w:val="Heading3"/>
      </w:pPr>
      <w:r>
        <w:t xml:space="preserve">3.1 Task Formulation</w:t>
      </w:r>
    </w:p>
    <w:p>
      <w:pPr>
        <w:pStyle w:val="FirstParagraph"/>
      </w:pPr>
      <w:r>
        <w:t xml:space="preserve">Given a Japanese tort case (undisputed facts, plaintiff claims, defendant claims), predict whether the tort is affirmed or denied (binary classification). As a multi-task objective, we also predict per-claim acceptance (rationale extraction, RE).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Dataset</w:t>
      </w:r>
      <w:r>
        <w:t xml:space="preserve">: 6,508 cases. 39.5% affirmed, 60.5% denied.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Split</w:t>
      </w:r>
      <w:r>
        <w:t xml:space="preserve">: Stratified 80/10/10 → 5,206 train / 651 val / 651 test.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Note</w:t>
      </w:r>
      <w:r>
        <w:t xml:space="preserve">: LLM experiments used a 100-case subsample with 5-fold CV. The comparison is informative but not directly head-to-head due to different data scales.</w:t>
      </w:r>
    </w:p>
    <w:bookmarkEnd w:id="32"/>
    <w:bookmarkStart w:id="36" w:name="Xaad7c4820e3a89deba5ab6319a38f39d9656a91"/>
    <w:p>
      <w:pPr>
        <w:pStyle w:val="Heading3"/>
      </w:pPr>
      <w:r>
        <w:t xml:space="preserve">3.2 Model Design A: Hierarchical Claim-Level BERT</w:t>
      </w:r>
    </w:p>
    <w:p>
      <w:pPr>
        <w:pStyle w:val="FirstParagraph"/>
      </w:pPr>
      <w:r>
        <w:t xml:space="preserve">The key challenge is that 42% of cases exceed BERT’s 512-token limit when concatenated as flat text, systematically truncating defendant claims (which appear last). We address this with a hierarchical architecture that encodes each claim independently.</w:t>
      </w:r>
    </w:p>
    <w:p>
      <w:pPr>
        <w:pStyle w:val="CaptionedFigure"/>
      </w:pPr>
      <w:r>
        <w:drawing>
          <wp:inline>
            <wp:extent cx="5334000" cy="3054300"/>
            <wp:effectExtent b="0" l="0" r="0" t="0"/>
            <wp:docPr descr="Hierarchical BERT Architecture" title="" id="34" name="Picture"/>
            <a:graphic>
              <a:graphicData uri="http://schemas.openxmlformats.org/drawingml/2006/picture">
                <pic:pic>
                  <pic:nvPicPr>
                    <pic:cNvPr descr="figures/jtd_hier_architectur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Hierarchical BERT Architecture</w:t>
      </w:r>
    </w:p>
    <w:p>
      <w:pPr>
        <w:pStyle w:val="BodyText"/>
      </w:pPr>
      <w:r>
        <w:rPr>
          <w:bCs/>
          <w:b/>
        </w:rPr>
        <w:t xml:space="preserve">Architecture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Segment encoder</w:t>
      </w:r>
      <w:r>
        <w:t xml:space="preserve">:</w:t>
      </w:r>
      <w:r>
        <w:t xml:space="preserve"> </w:t>
      </w:r>
      <w:r>
        <w:rPr>
          <w:rStyle w:val="VerbatimChar"/>
        </w:rPr>
        <w:t xml:space="preserve">cl-tohoku/bert-base-japanese-v3</w:t>
      </w:r>
      <w:r>
        <w:t xml:space="preserve"> </w:t>
      </w:r>
      <w:r>
        <w:t xml:space="preserve">encodes each claim/fact independently (max 256 tokens). Only 2.1% of individual segments exceed this limit.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Role embedding</w:t>
      </w:r>
      <w:r>
        <w:t xml:space="preserve">: Learned embeddings for U/P/D roles, added to segment [CLS] vectors.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Transformer aggregator</w:t>
      </w:r>
      <w:r>
        <w:t xml:space="preserve">: 2-layer Transformer encoder with cross-segment attention.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TP head</w:t>
      </w:r>
      <w:r>
        <w:t xml:space="preserve">: Mean-pool all segment embeddings → Linear(2) for tort prediction.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RE head</w:t>
      </w:r>
      <w:r>
        <w:t xml:space="preserve">: Per-claim embeddings → Linear(2) for acceptance prediction.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Multi-task loss</w:t>
      </w:r>
      <w:r>
        <w:t xml:space="preserve">: L = L_TP + 0.5</w:t>
      </w:r>
      <w:r>
        <w:t xml:space="preserve"> </w:t>
      </w:r>
      <w:r>
        <w:t xml:space="preserve">L_RE.</w:t>
      </w:r>
    </w:p>
    <w:p>
      <w:pPr>
        <w:pStyle w:val="BodyText"/>
      </w:pPr>
      <w:r>
        <w:rPr>
          <w:bCs/>
          <w:b/>
        </w:rPr>
        <w:t xml:space="preserve">Key design choices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Differential learning rate</w:t>
      </w:r>
      <w:r>
        <w:t xml:space="preserve">: Encoder at 2e-5, aggregator/heads at 1e-4.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Gradient accumulation</w:t>
      </w:r>
      <w:r>
        <w:t xml:space="preserve"> </w:t>
      </w:r>
      <w:r>
        <w:t xml:space="preserve">(8 steps) for effective batching across variable-length cases.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bf16 mixed precision</w:t>
      </w:r>
      <w:r>
        <w:t xml:space="preserve"> </w:t>
      </w:r>
      <w:r>
        <w:t xml:space="preserve">for memory efficiency.</w:t>
      </w:r>
    </w:p>
    <w:bookmarkEnd w:id="36"/>
    <w:bookmarkStart w:id="40" w:name="X66b715b7b8b99ce901b700c5b4d1b36ab3df244"/>
    <w:p>
      <w:pPr>
        <w:pStyle w:val="Heading3"/>
      </w:pPr>
      <w:r>
        <w:t xml:space="preserve">3.3 Model Design B: Flat BERT with Interleaved Claims</w:t>
      </w:r>
    </w:p>
    <w:p>
      <w:pPr>
        <w:pStyle w:val="FirstParagraph"/>
      </w:pPr>
      <w:r>
        <w:t xml:space="preserve">As a simpler alternative, we use standard</w:t>
      </w:r>
      <w:r>
        <w:t xml:space="preserve"> </w:t>
      </w:r>
      <w:r>
        <w:rPr>
          <w:rStyle w:val="VerbatimChar"/>
        </w:rPr>
        <w:t xml:space="preserve">BertForSequenceClassification</w:t>
      </w:r>
      <w:r>
        <w:t xml:space="preserve"> </w:t>
      </w:r>
      <w:r>
        <w:t xml:space="preserve">with a carefully designed input encoding to mitigate truncation bias.</w:t>
      </w:r>
    </w:p>
    <w:p>
      <w:pPr>
        <w:pStyle w:val="CaptionedFigure"/>
      </w:pPr>
      <w:r>
        <w:drawing>
          <wp:inline>
            <wp:extent cx="5334000" cy="2417482"/>
            <wp:effectExtent b="0" l="0" r="0" t="0"/>
            <wp:docPr descr="Flat BERT Architecture" title="" id="38" name="Picture"/>
            <a:graphic>
              <a:graphicData uri="http://schemas.openxmlformats.org/drawingml/2006/picture">
                <pic:pic>
                  <pic:nvPicPr>
                    <pic:cNvPr descr="figures/jtd_flat_architectur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Flat BERT Architecture</w:t>
      </w:r>
    </w:p>
    <w:p>
      <w:pPr>
        <w:pStyle w:val="BodyText"/>
      </w:pPr>
      <w:r>
        <w:rPr>
          <w:bCs/>
          <w:b/>
        </w:rPr>
        <w:t xml:space="preserve">Truncation strategy</w:t>
      </w:r>
      <w:r>
        <w:t xml:space="preserve">:</w:t>
      </w:r>
      <w:r>
        <w:t xml:space="preserve"> </w:t>
      </w:r>
      <w:r>
        <w:t xml:space="preserve">1. Undisputed facts placed first (background context).</w:t>
      </w:r>
      <w:r>
        <w:t xml:space="preserve"> </w:t>
      </w:r>
      <w:r>
        <w:t xml:space="preserve">2. Plaintiff and defendant claims</w:t>
      </w:r>
      <w:r>
        <w:t xml:space="preserve"> </w:t>
      </w:r>
      <w:r>
        <w:rPr>
          <w:bCs/>
          <w:b/>
        </w:rPr>
        <w:t xml:space="preserve">interleaved</w:t>
      </w:r>
      <w:r>
        <w:t xml:space="preserve"> </w:t>
      </w:r>
      <w:r>
        <w:t xml:space="preserve">(p₀, d₀, p₁, d₁, …) so truncation affects both parties equally.</w:t>
      </w:r>
      <w:r>
        <w:t xml:space="preserve"> </w:t>
      </w:r>
      <w:r>
        <w:t xml:space="preserve">3. Role markers</w:t>
      </w:r>
      <w:r>
        <w:t xml:space="preserve"> </w:t>
      </w:r>
      <w:r>
        <w:rPr>
          <w:rStyle w:val="VerbatimChar"/>
        </w:rPr>
        <w:t xml:space="preserve">[U]</w:t>
      </w:r>
      <w:r>
        <w:t xml:space="preserve">,</w:t>
      </w:r>
      <w:r>
        <w:t xml:space="preserve"> </w:t>
      </w:r>
      <w:r>
        <w:rPr>
          <w:rStyle w:val="VerbatimChar"/>
        </w:rPr>
        <w:t xml:space="preserve">[P]</w:t>
      </w:r>
      <w:r>
        <w:t xml:space="preserve">,</w:t>
      </w:r>
      <w:r>
        <w:t xml:space="preserve"> </w:t>
      </w:r>
      <w:r>
        <w:rPr>
          <w:rStyle w:val="VerbatimChar"/>
        </w:rPr>
        <w:t xml:space="preserve">[D]</w:t>
      </w:r>
      <w:r>
        <w:t xml:space="preserve"> </w:t>
      </w:r>
      <w:r>
        <w:t xml:space="preserve">as special tokens.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Proportional per-claim budget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head-tail truncation</w:t>
      </w:r>
      <w:r>
        <w:t xml:space="preserve">: each claim gets a fair share of the 512-token budget; both the beginning and end of each claim are preserved (important for legal text where conclusions often appear at the end).</w:t>
      </w:r>
    </w:p>
    <w:bookmarkEnd w:id="40"/>
    <w:bookmarkStart w:id="44" w:name="results-1"/>
    <w:p>
      <w:pPr>
        <w:pStyle w:val="Heading3"/>
      </w:pPr>
      <w:r>
        <w:t xml:space="preserve">3.4 Results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74"/>
        <w:gridCol w:w="1705"/>
        <w:gridCol w:w="1584"/>
        <w:gridCol w:w="1584"/>
        <w:gridCol w:w="20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Micro-F1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 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TP Macro-F1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(stratified)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LLM: Kimi K2.5 B0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cases, 5-fold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LLM: Gemini 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cases, 5-fold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LLM: Kimi K2.5 B2 (Strat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cases, 5-fold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BERT Flat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6508 cases,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BERT Hierarchical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6508 cases,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0.692</w:t>
            </w:r>
          </w:p>
        </w:tc>
      </w:tr>
    </w:tbl>
    <w:p>
      <w:pPr>
        <w:pStyle w:val="CaptionedFigure"/>
      </w:pPr>
      <w:r>
        <w:drawing>
          <wp:inline>
            <wp:extent cx="5334000" cy="2142564"/>
            <wp:effectExtent b="0" l="0" r="0" t="0"/>
            <wp:docPr descr="JTD Results Comparison" title="" id="42" name="Picture"/>
            <a:graphic>
              <a:graphicData uri="http://schemas.openxmlformats.org/drawingml/2006/picture">
                <pic:pic>
                  <pic:nvPicPr>
                    <pic:cNvPr descr="figures/jtd_results_compariso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2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JTD Results Comparison</w:t>
      </w:r>
    </w:p>
    <w:p>
      <w:pPr>
        <w:pStyle w:val="BodyText"/>
      </w:pPr>
      <w:r>
        <w:rPr>
          <w:bCs/>
          <w:b/>
        </w:rPr>
        <w:t xml:space="preserve">Training dynamics</w:t>
      </w:r>
      <w:r>
        <w:t xml:space="preserve"> </w:t>
      </w:r>
      <w:r>
        <w:t xml:space="preserve">(hierarchical): Loss decreased steadily from 1.01 to 0.20 over 9 epochs. Validation metrics improved smoothly to TP Macro-F1 = 0.72 before early stopping — proper convergence with no oscillation, in stark contrast to the unstable training observed with the earlier 100-case setup.</w:t>
      </w:r>
    </w:p>
    <w:bookmarkEnd w:id="44"/>
    <w:bookmarkStart w:id="45" w:name="discussion-1"/>
    <w:p>
      <w:pPr>
        <w:pStyle w:val="Heading3"/>
      </w:pPr>
      <w:r>
        <w:t xml:space="preserve">3.5 Discussion</w:t>
      </w:r>
    </w:p>
    <w:p>
      <w:pPr>
        <w:pStyle w:val="FirstParagraph"/>
      </w:pPr>
      <w:r>
        <w:rPr>
          <w:bCs/>
          <w:b/>
        </w:rPr>
        <w:t xml:space="preserve">TP performance</w:t>
      </w:r>
      <w:r>
        <w:t xml:space="preserve">: BERT with full training data (0.692 Macro-F1) outperforms the best LLM (0.611) by 8 points. However, this gap is expected given the ~50x data advantage (5,206 vs ~80 effective training cases per fold). The more informative comparison is the BERT ceiling against the inherent difficulty: at 0.692, there is meaningful room above random (0.500) but well below perfect, suggesting tort prediction from claim text alone is a fundamentally hard task.</w:t>
      </w:r>
    </w:p>
    <w:p>
      <w:pPr>
        <w:pStyle w:val="BodyText"/>
      </w:pPr>
      <w:r>
        <w:rPr>
          <w:bCs/>
          <w:b/>
        </w:rPr>
        <w:t xml:space="preserve">RE performance</w:t>
      </w:r>
      <w:r>
        <w:t xml:space="preserve">: Notably, LLM B0 (Gemini, 0.751) outperforms the BERT RE head (0.681) despite the massive data disadvantage. This suggests that per-claim acceptance prediction benefits from LLMs’ legal reasoning capabilities — understanding whether a legal argument is likely to be accepted by a court requires domain knowledge that supervised training on 5,206 cases does not fully capture.</w:t>
      </w:r>
    </w:p>
    <w:p>
      <w:pPr>
        <w:pStyle w:val="BodyText"/>
      </w:pPr>
      <w:r>
        <w:rPr>
          <w:bCs/>
          <w:b/>
        </w:rPr>
        <w:t xml:space="preserve">Hierarchical vs Flat</w:t>
      </w:r>
      <w:r>
        <w:t xml:space="preserve">: Nearly identical TP performance (0.692 vs 0.682,</w:t>
      </w:r>
      <w:r>
        <w:t xml:space="preserve"> </w:t>
      </w:r>
      <w:r>
        <w:t xml:space="preserve">= 0.010). The flat model’s interleaved truncation strategy effectively mitigates the systematic defendant-truncation bias that motivated the hierarchical design. The hierarchical model’s advantage is its ability to also produce RE predictions, making it a multi-task model.</w:t>
      </w:r>
    </w:p>
    <w:p>
      <w:pPr>
        <w:pStyle w:val="BodyText"/>
      </w:pPr>
      <w:r>
        <w:rPr>
          <w:bCs/>
          <w:b/>
        </w:rPr>
        <w:t xml:space="preserve">TP from RE</w:t>
      </w:r>
      <w:r>
        <w:t xml:space="preserve"> </w:t>
      </w:r>
      <w:r>
        <w:t xml:space="preserve">(hierarchical only): The TP-from-RE strategy (deriving tort prediction from aggregated claim-level predictions) achieves 0.667 Macro-F1, slightly below the direct TP head (0.692). The RE-to-TP consistency is 89.2%, indicating the two prediction paths largely agree.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ummary"/>
    <w:p>
      <w:pPr>
        <w:pStyle w:val="Heading2"/>
      </w:pPr>
      <w:r>
        <w:t xml:space="preserve">4.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5"/>
        <w:gridCol w:w="2946"/>
        <w:gridCol w:w="1841"/>
        <w:gridCol w:w="20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Supervised 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wins?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Essay Relation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0.392 (Gemini, gold_fs)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by 2.3x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JTD Tort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0.611 (Kimi, B0)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 by 0.08*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JTD Rationale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0.751 (Gemini, B0)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by 0.07*</w:t>
            </w:r>
          </w:p>
        </w:tc>
      </w:tr>
    </w:tbl>
    <w:p>
      <w:pPr>
        <w:pStyle w:val="BodyText"/>
      </w:pPr>
      <w:r>
        <w:t xml:space="preserve">* Different data scales: BERT uses 6,508 cases; LLMs use 100-case subsample.</w:t>
      </w:r>
    </w:p>
    <w:p>
      <w:pPr>
        <w:pStyle w:val="BodyText"/>
      </w:pPr>
      <w:r>
        <w:rPr>
          <w:bCs/>
          <w:b/>
        </w:rPr>
        <w:t xml:space="preserve">Key insights</w:t>
      </w:r>
      <w:r>
        <w:t xml:space="preserve">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Argument relation classification is not a pattern-matching task.</w:t>
      </w:r>
      <w:r>
        <w:t xml:space="preserve"> </w:t>
      </w:r>
      <w:r>
        <w:t xml:space="preserve">Even with entity markers that encode positional information and supervised training on 282 essays, BERT achieves less than half the performance of few-shot LLMs. This validates the premise of using LLM-based methods for argumentation framework construction — the task genuinely requires reasoning that goes beyond statistical associations.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Tort prediction benefits from training data.</w:t>
      </w:r>
      <w:r>
        <w:t xml:space="preserve"> </w:t>
      </w:r>
      <w:r>
        <w:t xml:space="preserve">With sufficient labeled data, supervised methods outperform zero-shot LLMs on the binary prediction task. This suggests that scaling the LLM experiments to the full dataset (or incorporating few-shot retrieval from training cases) could improve LLM TP performance.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Legal reasoning for RE remains an LLM strength.</w:t>
      </w:r>
      <w:r>
        <w:t xml:space="preserve"> </w:t>
      </w:r>
      <w:r>
        <w:t xml:space="preserve">Per-claim acceptance prediction appears to require understanding of legal merit and precedent that even 5,206 training cases cannot teach BERT. This is the most promising direction for AF-based methods that leverage LLMs’ domain knowledge.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7" Target="media/rId37.png" /><Relationship Type="http://schemas.openxmlformats.org/officeDocument/2006/relationships/image" Id="rId33" Target="media/rId33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2026-03-25T15:38:00Z</dcterms:created>
  <dcterms:modified xsi:type="dcterms:W3CDTF">2026-03-25T15:38:00Z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