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8c5471d2decd6b4ae7ff2854c489c53880e01c9"/>
    <w:p>
      <w:pPr>
        <w:pStyle w:val="Heading1"/>
      </w:pPr>
      <w:r>
        <w:t xml:space="preserve">Experiment Plan: LLM-Based Bipolar Argumentation Framework Extraction</w:t>
      </w:r>
    </w:p>
    <w:bookmarkStart w:id="20" w:name="research-goal"/>
    <w:p>
      <w:pPr>
        <w:pStyle w:val="Heading2"/>
      </w:pPr>
      <w:r>
        <w:t xml:space="preserve">1. Research Goal</w:t>
      </w:r>
    </w:p>
    <w:p>
      <w:pPr>
        <w:pStyle w:val="FirstParagraph"/>
      </w:pPr>
      <w:r>
        <w:t xml:space="preserve">Evaluate how well current LLMs can construct</w:t>
      </w:r>
      <w:r>
        <w:t xml:space="preserve"> </w:t>
      </w:r>
      <w:r>
        <w:rPr>
          <w:bCs/>
          <w:b/>
        </w:rPr>
        <w:t xml:space="preserve">Bipolar Argumentation Frameworks (BAFs)</w:t>
      </w:r>
      <w:r>
        <w:t xml:space="preserve"> </w:t>
      </w:r>
      <w:r>
        <w:t xml:space="preserve">from natural language text, using prompting-based methods (no fine-tuning).</w:t>
      </w:r>
    </w:p>
    <w:bookmarkEnd w:id="20"/>
    <w:bookmarkStart w:id="21" w:name="task-definition"/>
    <w:p>
      <w:pPr>
        <w:pStyle w:val="Heading2"/>
      </w:pPr>
      <w:r>
        <w:t xml:space="preserve">2. Task Definition</w:t>
      </w:r>
    </w:p>
    <w:p>
      <w:pPr>
        <w:pStyle w:val="FirstParagraph"/>
      </w:pPr>
      <w:r>
        <w:rPr>
          <w:bCs/>
          <w:b/>
        </w:rPr>
        <w:t xml:space="preserve">Input:</w:t>
      </w:r>
      <w:r>
        <w:t xml:space="preserve"> </w:t>
      </w:r>
      <w:r>
        <w:t xml:space="preserve">A persuasive essay (plain text).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A Bipolar Argumentation Framework consisting of: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Arguments</w:t>
      </w:r>
      <w:r>
        <w:t xml:space="preserve">: a set of text spans (exact verbatim substrings from the essay). All argumentation components (claims, premises, theses, counter-arguments) are treated uniformly as</w:t>
      </w:r>
      <w:r>
        <w:t xml:space="preserve"> </w:t>
      </w:r>
      <w:r>
        <w:t xml:space="preserve">“</w:t>
      </w:r>
      <w:r>
        <w:t xml:space="preserve">arguments</w:t>
      </w:r>
      <w:r>
        <w:t xml:space="preserve">”</w:t>
      </w:r>
      <w:r>
        <w:t xml:space="preserve"> </w:t>
      </w:r>
      <w:r>
        <w:t xml:space="preserve">— no component-type distinction.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Support relations</w:t>
      </w:r>
      <w:r>
        <w:t xml:space="preserve">: directed edges where the source argument provides evidence or reasoning that supports the target.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Attack relations</w:t>
      </w:r>
      <w:r>
        <w:t xml:space="preserve">: directed edges where the source argument provides evidence or reasoning that undermines the target.</w:t>
      </w:r>
    </w:p>
    <w:p>
      <w:pPr>
        <w:pStyle w:val="FirstParagraph"/>
      </w:pPr>
      <w:r>
        <w:t xml:space="preserve">This formulation is</w:t>
      </w:r>
      <w:r>
        <w:t xml:space="preserve"> </w:t>
      </w:r>
      <w:r>
        <w:rPr>
          <w:bCs/>
          <w:b/>
        </w:rPr>
        <w:t xml:space="preserve">dataset-agnostic</w:t>
      </w:r>
      <w:r>
        <w:t xml:space="preserve">: it abstracts away corpus-specific component taxonomies (e.g., MajorClaim/Claim/Premise in Persuasive Essays, or different schemes in other corpora) and focuses on the minimal structure of a bipolar AF: nodes + directed support/attack edges.</w:t>
      </w:r>
    </w:p>
    <w:bookmarkEnd w:id="21"/>
    <w:bookmarkStart w:id="24" w:name="datasets"/>
    <w:p>
      <w:pPr>
        <w:pStyle w:val="Heading2"/>
      </w:pPr>
      <w:r>
        <w:t xml:space="preserve">3. Datasets</w:t>
      </w:r>
    </w:p>
    <w:bookmarkStart w:id="22" w:name="X7fe73950972c8f7ac1a19fd848c7410a41e5915"/>
    <w:p>
      <w:pPr>
        <w:pStyle w:val="Heading3"/>
      </w:pPr>
      <w:r>
        <w:t xml:space="preserve">3.1 Primary: Argument Annotated Essays v2 (AAEC)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Source</w:t>
      </w:r>
      <w:r>
        <w:t xml:space="preserve">: Stab &amp; Gurevych,</w:t>
      </w:r>
      <w:r>
        <w:t xml:space="preserve"> </w:t>
      </w:r>
      <w:r>
        <w:t xml:space="preserve">“</w:t>
      </w:r>
      <w:r>
        <w:t xml:space="preserve">Parsing Argumentation Structures in Persuasive Essays</w:t>
      </w:r>
      <w:r>
        <w:t xml:space="preserve">”</w:t>
      </w:r>
      <w:r>
        <w:t xml:space="preserve"> </w:t>
      </w:r>
      <w:r>
        <w:t xml:space="preserve">(CL, 2017). https://aclanthology.org/J17-3005/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Size</w:t>
      </w:r>
      <w:r>
        <w:t xml:space="preserve">: 402 persuasive essays (322 train / 80 test), using the official split from</w:t>
      </w:r>
      <w:r>
        <w:t xml:space="preserve"> </w:t>
      </w:r>
      <w:r>
        <w:rPr>
          <w:rStyle w:val="VerbatimChar"/>
        </w:rPr>
        <w:t xml:space="preserve">train-test-split.csv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Annotations</w:t>
      </w:r>
      <w:r>
        <w:t xml:space="preserve">: BRAT format. Original annotation uses MajorClaim, Claim, Premise as component types and supports/attacks as relation types, plus For/Against stance attributes on Claims.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Conversion to BAF</w:t>
      </w:r>
      <w:r>
        <w:t xml:space="preserve">: MajorClaim, Claim, and Premise are all merged into generic</w:t>
      </w:r>
      <w:r>
        <w:t xml:space="preserve"> </w:t>
      </w:r>
      <w:r>
        <w:t xml:space="preserve">“</w:t>
      </w:r>
      <w:r>
        <w:t xml:space="preserve">argument</w:t>
      </w:r>
      <w:r>
        <w:t xml:space="preserve">”</w:t>
      </w:r>
      <w:r>
        <w:t xml:space="preserve"> </w:t>
      </w:r>
      <w:r>
        <w:t xml:space="preserve">nodes. Relation types are normalised (supports → support, attacks → attack). Stance attributes are dropped.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 statistics</w:t>
      </w:r>
      <w:r>
        <w:t xml:space="preserve"> </w:t>
      </w:r>
      <w:r>
        <w:t xml:space="preserve">(after conversion): 6,089 arguments, 3,613 support relations, 219 attack relations (94.3% / 5.7% split).</w:t>
      </w:r>
    </w:p>
    <w:bookmarkEnd w:id="22"/>
    <w:bookmarkStart w:id="23" w:name="future-datasets"/>
    <w:p>
      <w:pPr>
        <w:pStyle w:val="Heading3"/>
      </w:pPr>
      <w:r>
        <w:t xml:space="preserve">3.2 Future Datasets</w:t>
      </w:r>
    </w:p>
    <w:p>
      <w:pPr>
        <w:pStyle w:val="FirstParagraph"/>
      </w:pPr>
      <w:r>
        <w:t xml:space="preserve">The evaluation framework is designed to be portable. Additional argumentation datasets can be integrated by writing a dataset-specific BRAT/other-format parser that outputs the same BAF representation.</w:t>
      </w:r>
    </w:p>
    <w:bookmarkEnd w:id="23"/>
    <w:bookmarkEnd w:id="24"/>
    <w:bookmarkStart w:id="29" w:name="methods"/>
    <w:p>
      <w:pPr>
        <w:pStyle w:val="Heading2"/>
      </w:pPr>
      <w:r>
        <w:t xml:space="preserve">4. Methods</w:t>
      </w:r>
    </w:p>
    <w:p>
      <w:pPr>
        <w:pStyle w:val="FirstParagraph"/>
      </w:pPr>
      <w:r>
        <w:t xml:space="preserve">Two orthogonal experimental axes —</w:t>
      </w:r>
      <w:r>
        <w:t xml:space="preserve"> </w:t>
      </w:r>
      <w:r>
        <w:rPr>
          <w:bCs/>
          <w:b/>
        </w:rPr>
        <w:t xml:space="preserve">prompting strategy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task decomposition</w:t>
      </w:r>
      <w:r>
        <w:t xml:space="preserve"> </w:t>
      </w:r>
      <w:r>
        <w:t xml:space="preserve">— plus a diagnostic setting:</w:t>
      </w:r>
    </w:p>
    <w:bookmarkStart w:id="25" w:name="core-methods-5-total"/>
    <w:p>
      <w:pPr>
        <w:pStyle w:val="Heading3"/>
      </w:pPr>
      <w:r>
        <w:t xml:space="preserve">4.1 Core Methods (5 total)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08"/>
        <w:gridCol w:w="969"/>
        <w:gridCol w:w="1616"/>
        <w:gridCol w:w="2424"/>
        <w:gridCol w:w="21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zs_e2e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prompt: task description + output schema. No examples. Baseline for raw LLM capability.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fs_e2e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above, with 3 annotated essay examples prepended. Tests value of in-context examples.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fs_cot_e2e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 CoT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3-shot + CoT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 examples + explicit step-by-step reasoning instructions (identify thesis → find supporting/opposing arguments → trace relations → output BAF). Tests whether guided reasoning improves structure extraction in the end-to-end setting.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zs_pipe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2-step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identify argument spans. Step 2: given arguments, predict relations. Tests value of decomposition without examples.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fs_pipe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2-step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2-step pipeline, with 3 examples at each step. Tests combined value of decomposition + examples.</w:t>
            </w:r>
          </w:p>
        </w:tc>
      </w:tr>
    </w:tbl>
    <w:bookmarkEnd w:id="25"/>
    <w:bookmarkStart w:id="26" w:name="X1725ad87b7a54d52c1f1d7f4889819351669f02"/>
    <w:p>
      <w:pPr>
        <w:pStyle w:val="Heading3"/>
      </w:pPr>
      <w:r>
        <w:t xml:space="preserve">4.2 Gold-Argument Diagnostic Setting (2 variants)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198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gold_zs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Gold-arg 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receives gold argument spans; predicts only relations. Isolates relation extraction from span identification.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gold_fs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Gold-arg Few-shot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with 3 few-shot examples of argument-to-relation mapping.</w:t>
            </w:r>
          </w:p>
        </w:tc>
      </w:tr>
    </w:tbl>
    <w:p>
      <w:pPr>
        <w:pStyle w:val="BodyText"/>
      </w:pPr>
      <w:r>
        <w:t xml:space="preserve">The gap between gold-argument performance and end-to-end performance reveals whether the bottleneck is argument identification or relation extraction.</w:t>
      </w:r>
    </w:p>
    <w:bookmarkEnd w:id="26"/>
    <w:bookmarkStart w:id="27" w:name="design-rationale"/>
    <w:p>
      <w:pPr>
        <w:pStyle w:val="Heading3"/>
      </w:pPr>
      <w:r>
        <w:t xml:space="preserve">4.3 Design Rationale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CoT is paired with E2E, not pipeline.</w:t>
      </w:r>
      <w:r>
        <w:t xml:space="preserve"> </w:t>
      </w:r>
      <w:r>
        <w:t xml:space="preserve">Pipeline already decomposes the reasoning into steps; adding CoT within each pipeline step has diminishing returns. The more informative comparison is whether CoT can help the model handle the full complexity in a single pass. If</w:t>
      </w:r>
      <w:r>
        <w:t xml:space="preserve"> </w:t>
      </w:r>
      <w:r>
        <w:rPr>
          <w:rStyle w:val="VerbatimChar"/>
        </w:rPr>
        <w:t xml:space="preserve">fs_cot_e2e</w:t>
      </w:r>
      <w:r>
        <w:t xml:space="preserve"> </w:t>
      </w:r>
      <w:r>
        <w:t xml:space="preserve">matches or exceeds</w:t>
      </w:r>
      <w:r>
        <w:t xml:space="preserve"> </w:t>
      </w:r>
      <w:r>
        <w:rPr>
          <w:rStyle w:val="VerbatimChar"/>
        </w:rPr>
        <w:t xml:space="preserve">fs_pipe</w:t>
      </w:r>
      <w:r>
        <w:t xml:space="preserve">, it suggests that explicit reasoning can substitute for task decomposition.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fine-tuning.</w:t>
      </w:r>
      <w:r>
        <w:t xml:space="preserve"> </w:t>
      </w:r>
      <w:r>
        <w:t xml:space="preserve">The goal is to evaluate LLM capabilities via prompting, which is more practical for researchers without large compute budgets and more reflective of how LLMs are used in practice. Fine-tuning can be added in future work.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dev set.</w:t>
      </w:r>
      <w:r>
        <w:t xml:space="preserve"> </w:t>
      </w:r>
      <w:r>
        <w:t xml:space="preserve">Prompts are designed based on task understanding and general prompt engineering principles. All 80 test essays are used for evaluation.</w:t>
      </w:r>
    </w:p>
    <w:bookmarkEnd w:id="27"/>
    <w:bookmarkStart w:id="28" w:name="few-shot-example-selection"/>
    <w:p>
      <w:pPr>
        <w:pStyle w:val="Heading3"/>
      </w:pPr>
      <w:r>
        <w:t xml:space="preserve">4.4 Few-Shot Example Selection</w:t>
      </w:r>
    </w:p>
    <w:p>
      <w:pPr>
        <w:pStyle w:val="FirstParagraph"/>
      </w:pPr>
      <w:r>
        <w:t xml:space="preserve">3 training essays are selected for diversity:</w:t>
      </w:r>
    </w:p>
    <w:p>
      <w:pPr>
        <w:numPr>
          <w:ilvl w:val="0"/>
          <w:numId w:val="1004"/>
        </w:numPr>
        <w:pStyle w:val="Compact"/>
      </w:pPr>
      <w:r>
        <w:t xml:space="preserve">One essay</w:t>
      </w:r>
      <w:r>
        <w:t xml:space="preserve"> </w:t>
      </w:r>
      <w:r>
        <w:rPr>
          <w:bCs/>
          <w:b/>
        </w:rPr>
        <w:t xml:space="preserve">with attack relations</w:t>
      </w:r>
      <w:r>
        <w:t xml:space="preserve"> </w:t>
      </w:r>
      <w:r>
        <w:t xml:space="preserve">(medium length) — ensures the model sees the rarer relation type.</w:t>
      </w:r>
    </w:p>
    <w:p>
      <w:pPr>
        <w:numPr>
          <w:ilvl w:val="0"/>
          <w:numId w:val="1004"/>
        </w:numPr>
        <w:pStyle w:val="Compact"/>
      </w:pPr>
      <w:r>
        <w:t xml:space="preserve">One</w:t>
      </w:r>
      <w:r>
        <w:t xml:space="preserve"> </w:t>
      </w:r>
      <w:r>
        <w:rPr>
          <w:bCs/>
          <w:b/>
        </w:rPr>
        <w:t xml:space="preserve">short/simple</w:t>
      </w:r>
      <w:r>
        <w:t xml:space="preserve"> </w:t>
      </w:r>
      <w:r>
        <w:t xml:space="preserve">essay (fewest arguments, no attacks) — provides a basic structural template.</w:t>
      </w:r>
    </w:p>
    <w:p>
      <w:pPr>
        <w:numPr>
          <w:ilvl w:val="0"/>
          <w:numId w:val="1004"/>
        </w:numPr>
        <w:pStyle w:val="Compact"/>
      </w:pPr>
      <w:r>
        <w:t xml:space="preserve">One</w:t>
      </w:r>
      <w:r>
        <w:t xml:space="preserve"> </w:t>
      </w:r>
      <w:r>
        <w:rPr>
          <w:bCs/>
          <w:b/>
        </w:rPr>
        <w:t xml:space="preserve">long/complex</w:t>
      </w:r>
      <w:r>
        <w:t xml:space="preserve"> </w:t>
      </w:r>
      <w:r>
        <w:t xml:space="preserve">essay (most arguments) — demonstrates handling of larger argument graphs.</w:t>
      </w:r>
    </w:p>
    <w:p>
      <w:pPr>
        <w:pStyle w:val="FirstParagraph"/>
      </w:pPr>
      <w:r>
        <w:t xml:space="preserve">The same 3 examples are used across all test essays and all few-shot methods (fixed for reproducibility). Example IDs are saved to</w:t>
      </w:r>
      <w:r>
        <w:t xml:space="preserve"> </w:t>
      </w:r>
      <w:r>
        <w:rPr>
          <w:rStyle w:val="VerbatimChar"/>
        </w:rPr>
        <w:t xml:space="preserve">results/meta/fewshot_examples.json</w:t>
      </w:r>
      <w:r>
        <w:t xml:space="preserve">.</w:t>
      </w:r>
    </w:p>
    <w:bookmarkEnd w:id="28"/>
    <w:bookmarkEnd w:id="29"/>
    <w:bookmarkStart w:id="31" w:name="models"/>
    <w:p>
      <w:pPr>
        <w:pStyle w:val="Heading2"/>
      </w:pPr>
      <w:r>
        <w:t xml:space="preserve">5. Models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42"/>
        <w:gridCol w:w="1131"/>
        <w:gridCol w:w="3960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OpenRouter Model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gpt-5-mini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GPT-5 mini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openai/gpt-5-mini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gpt-5-nano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GPT-5 nano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openai/gpt-5-nano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claude-haiku-4.5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Haiku 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anthropic/claude-haiku-4.5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gemini-3-flash-preview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3 Flash Preview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google/gemini-3-flash-preview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Flash 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google/gemini-2.5-flash-lite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kimi-k2.5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moonshotai/kimi-k2.5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deepseek-v3.2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V3.2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deepseek/deepseek-v3.2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minimax-m2.1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MiniMax M2.1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minimax/minimax-m2.1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grok-4.1-fast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 4.1 Fast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x-ai/grok-4.1-fast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qwen3-235b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3 235B A22B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qwen/qwen3-235b-a22b-2507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</w:t>
            </w:r>
          </w:p>
        </w:tc>
      </w:tr>
    </w:tbl>
    <w:p>
      <w:pPr>
        <w:pStyle w:val="BodyText"/>
      </w:pPr>
      <w:r>
        <w:t xml:space="preserve">All accessed through</w:t>
      </w:r>
      <w:r>
        <w:t xml:space="preserve"> </w:t>
      </w:r>
      <w:r>
        <w:rPr>
          <w:bCs/>
          <w:b/>
        </w:rPr>
        <w:t xml:space="preserve">OpenRouter</w:t>
      </w:r>
      <w:r>
        <w:t xml:space="preserve"> </w:t>
      </w:r>
      <w:r>
        <w:t xml:space="preserve">(single API key, single billing account).</w:t>
      </w:r>
    </w:p>
    <w:p>
      <w:pPr>
        <w:pStyle w:val="BodyText"/>
      </w:pPr>
      <w:r>
        <w:rPr>
          <w:bCs/>
          <w:b/>
        </w:rPr>
        <w:t xml:space="preserve">Configuration</w:t>
      </w:r>
      <w:r>
        <w:t xml:space="preserve">: temperature = 0 (deterministic), max_tokens = 4096.</w:t>
      </w:r>
    </w:p>
    <w:bookmarkStart w:id="30" w:name="experiment-matrix"/>
    <w:p>
      <w:pPr>
        <w:pStyle w:val="Heading3"/>
      </w:pPr>
      <w:r>
        <w:t xml:space="preserve">5.1 Experiment Matrix</w:t>
      </w:r>
    </w:p>
    <w:p>
      <w:pPr>
        <w:pStyle w:val="FirstParagraph"/>
      </w:pPr>
      <w:r>
        <w:t xml:space="preserve">10 models × 5 core methods =</w:t>
      </w:r>
      <w:r>
        <w:t xml:space="preserve"> </w:t>
      </w:r>
      <w:r>
        <w:rPr>
          <w:bCs/>
          <w:b/>
        </w:rPr>
        <w:t xml:space="preserve">50 conditions</w:t>
      </w:r>
      <w:r>
        <w:t xml:space="preserve">, each evaluated on 80 test essays.</w:t>
      </w:r>
      <w:r>
        <w:t xml:space="preserve"> </w:t>
      </w:r>
      <w:r>
        <w:t xml:space="preserve">Plus 10 models × 2 gold-arg variants =</w:t>
      </w:r>
      <w:r>
        <w:t xml:space="preserve"> </w:t>
      </w:r>
      <w:r>
        <w:rPr>
          <w:bCs/>
          <w:b/>
        </w:rPr>
        <w:t xml:space="preserve">20 diagnostic conditions</w:t>
      </w:r>
      <w:r>
        <w:t xml:space="preserve">.</w:t>
      </w:r>
    </w:p>
    <w:p>
      <w:pPr>
        <w:pStyle w:val="BodyText"/>
      </w:pPr>
      <w:r>
        <w:t xml:space="preserve">Total API calls: ~4,000 for core experiments (pipeline methods require 2 calls per essay), ~1,600 for diagnostic. Estimated cost at typical OpenRouter rates: modest (essays are short, ~300-500 words each).</w:t>
      </w:r>
    </w:p>
    <w:bookmarkEnd w:id="30"/>
    <w:bookmarkEnd w:id="31"/>
    <w:bookmarkStart w:id="38" w:name="evaluation"/>
    <w:p>
      <w:pPr>
        <w:pStyle w:val="Heading2"/>
      </w:pPr>
      <w:r>
        <w:t xml:space="preserve">6. Evaluation</w:t>
      </w:r>
    </w:p>
    <w:bookmarkStart w:id="32" w:name="evaluation-settings"/>
    <w:p>
      <w:pPr>
        <w:pStyle w:val="Heading3"/>
      </w:pPr>
      <w:r>
        <w:t xml:space="preserve">6.1 Evaluation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4"/>
        <w:gridCol w:w="2424"/>
        <w:gridCol w:w="2586"/>
        <w:gridCol w:w="14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to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predicts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essay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Arguments +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BAF extraction 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Gold-argument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Essay + gold argument spans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Isolates relation extraction</w:t>
            </w:r>
          </w:p>
        </w:tc>
      </w:tr>
    </w:tbl>
    <w:bookmarkEnd w:id="32"/>
    <w:bookmarkStart w:id="37" w:name="metrics"/>
    <w:p>
      <w:pPr>
        <w:pStyle w:val="Heading3"/>
      </w:pPr>
      <w:r>
        <w:t xml:space="preserve">6.2 Metrics</w:t>
      </w:r>
    </w:p>
    <w:bookmarkStart w:id="33" w:name="X5d3c5fd0f7dfe0dd63f58426d3042c9dd82565d"/>
    <w:p>
      <w:pPr>
        <w:pStyle w:val="Heading4"/>
      </w:pPr>
      <w:r>
        <w:t xml:space="preserve">Argument Identification (end-to-end setting only)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Relaxed Span Match</w:t>
      </w:r>
      <w:r>
        <w:t xml:space="preserve">: a predicted span matches a gold span if character-level IoU ≥ 0.5.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Optimal alignment</w:t>
      </w:r>
      <w:r>
        <w:t xml:space="preserve">: Hungarian algorithm for bipartite matching between predicted and gold spans (maximises total IoU).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Precision / Recall / F1</w:t>
      </w:r>
      <w:r>
        <w:t xml:space="preserve">: TP = matched pairs, FP = unmatched predictions, FN = unmatched golds.</w:t>
      </w:r>
    </w:p>
    <w:bookmarkEnd w:id="33"/>
    <w:bookmarkStart w:id="34" w:name="relation-extraction-both-settings"/>
    <w:p>
      <w:pPr>
        <w:pStyle w:val="Heading4"/>
      </w:pPr>
      <w:r>
        <w:t xml:space="preserve">Relation Extraction (both settings)</w:t>
      </w:r>
    </w:p>
    <w:p>
      <w:pPr>
        <w:pStyle w:val="FirstParagraph"/>
      </w:pPr>
      <w:r>
        <w:t xml:space="preserve">A predicted relation (source, target, type) counts as a</w:t>
      </w:r>
      <w:r>
        <w:t xml:space="preserve"> </w:t>
      </w:r>
      <w:r>
        <w:rPr>
          <w:bCs/>
          <w:b/>
        </w:rPr>
        <w:t xml:space="preserve">true positive</w:t>
      </w:r>
      <w:r>
        <w:t xml:space="preserve"> </w:t>
      </w:r>
      <w:r>
        <w:t xml:space="preserve">iff:</w:t>
      </w:r>
    </w:p>
    <w:p>
      <w:pPr>
        <w:numPr>
          <w:ilvl w:val="0"/>
          <w:numId w:val="1006"/>
        </w:numPr>
        <w:pStyle w:val="Compact"/>
      </w:pPr>
      <w:r>
        <w:t xml:space="preserve">The source argument matches a gold argument (IoU ≥ 0.5).</w:t>
      </w:r>
    </w:p>
    <w:p>
      <w:pPr>
        <w:numPr>
          <w:ilvl w:val="0"/>
          <w:numId w:val="1006"/>
        </w:numPr>
        <w:pStyle w:val="Compact"/>
      </w:pPr>
      <w:r>
        <w:t xml:space="preserve">The target argument matches a gold argument (IoU ≥ 0.5).</w:t>
      </w:r>
    </w:p>
    <w:p>
      <w:pPr>
        <w:numPr>
          <w:ilvl w:val="0"/>
          <w:numId w:val="1006"/>
        </w:numPr>
        <w:pStyle w:val="Compact"/>
      </w:pPr>
      <w:r>
        <w:t xml:space="preserve">A gold relation exists between those matched gold arguments with the</w:t>
      </w:r>
      <w:r>
        <w:t xml:space="preserve"> </w:t>
      </w:r>
      <w:r>
        <w:rPr>
          <w:bCs/>
          <w:b/>
        </w:rPr>
        <w:t xml:space="preserve">same type</w:t>
      </w:r>
      <w:r>
        <w:t xml:space="preserve">.</w:t>
      </w:r>
    </w:p>
    <w:p>
      <w:pPr>
        <w:pStyle w:val="FirstParagraph"/>
      </w:pPr>
      <w:r>
        <w:t xml:space="preserve">Computed metrics: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Per-type P / R / F1</w:t>
      </w:r>
      <w:r>
        <w:t xml:space="preserve">: separately for support and attack.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Macro Relation F1</w:t>
      </w:r>
      <w:r>
        <w:t xml:space="preserve">: average of support-F1 and attack-F1. This is the</w:t>
      </w:r>
      <w:r>
        <w:t xml:space="preserve"> </w:t>
      </w:r>
      <w:r>
        <w:rPr>
          <w:bCs/>
          <w:b/>
        </w:rPr>
        <w:t xml:space="preserve">primary metric</w:t>
      </w:r>
      <w:r>
        <w:t xml:space="preserve"> </w:t>
      </w:r>
      <w:r>
        <w:t xml:space="preserve">— it prevents the dominant support class (94.3%) from masking poor attack performance.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Micro Relation F1</w:t>
      </w:r>
      <w:r>
        <w:t xml:space="preserve">: pooled TP/FP/FN across both types. Reflects overall accuracy.</w:t>
      </w:r>
    </w:p>
    <w:bookmarkEnd w:id="34"/>
    <w:bookmarkStart w:id="35" w:name="aggregation-levels"/>
    <w:p>
      <w:pPr>
        <w:pStyle w:val="Heading4"/>
      </w:pPr>
      <w:r>
        <w:t xml:space="preserve">Aggregation Levels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Micro-aggregated</w:t>
      </w:r>
      <w:r>
        <w:t xml:space="preserve">: pool TP/FP/FN across all 80 test essays, then compute P/R/F1. Gives more weight to essays with more annotations.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Macro-averaged</w:t>
      </w:r>
      <w:r>
        <w:t xml:space="preserve">: compute F1 per essay, then average across essays. Gives equal weight to each essay.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Bootstrap 95% CIs</w:t>
      </w:r>
      <w:r>
        <w:t xml:space="preserve">: 10,000 bootstrap resamples over the 80 test essays for macro-averaged F1. Reports [2.5th, 97.5th percentile] intervals.</w:t>
      </w:r>
    </w:p>
    <w:bookmarkEnd w:id="35"/>
    <w:bookmarkStart w:id="36" w:name="practical-metrics"/>
    <w:p>
      <w:pPr>
        <w:pStyle w:val="Heading4"/>
      </w:pPr>
      <w:r>
        <w:t xml:space="preserve">Practical Metrics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Parse success rate</w:t>
      </w:r>
      <w:r>
        <w:t xml:space="preserve">: % of LLM outputs that yield valid JSON conforming to the expected schema and containing at least one argument.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Latency and token usage</w:t>
      </w:r>
      <w:r>
        <w:t xml:space="preserve">: logged per call for cost analysis.</w:t>
      </w:r>
    </w:p>
    <w:bookmarkEnd w:id="36"/>
    <w:bookmarkEnd w:id="37"/>
    <w:bookmarkEnd w:id="38"/>
    <w:bookmarkStart w:id="42" w:name="experimental-procedure"/>
    <w:p>
      <w:pPr>
        <w:pStyle w:val="Heading2"/>
      </w:pPr>
      <w:r>
        <w:t xml:space="preserve">7. Experimental Procedure</w:t>
      </w:r>
    </w:p>
    <w:bookmarkStart w:id="39" w:name="phase-1-data-preparation"/>
    <w:p>
      <w:pPr>
        <w:pStyle w:val="Heading3"/>
      </w:pPr>
      <w:r>
        <w:t xml:space="preserve">Phase 1: Data Preparation</w:t>
      </w:r>
    </w:p>
    <w:p>
      <w:pPr>
        <w:numPr>
          <w:ilvl w:val="0"/>
          <w:numId w:val="1010"/>
        </w:numPr>
        <w:pStyle w:val="Compact"/>
      </w:pPr>
      <w:r>
        <w:t xml:space="preserve">Parse all 402 BRAT</w:t>
      </w:r>
      <w:r>
        <w:t xml:space="preserve"> </w:t>
      </w:r>
      <w:r>
        <w:rPr>
          <w:rStyle w:val="VerbatimChar"/>
        </w:rPr>
        <w:t xml:space="preserve">.ann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files into unified BAF format (merge component types, normalise relation types).</w:t>
      </w:r>
    </w:p>
    <w:p>
      <w:pPr>
        <w:numPr>
          <w:ilvl w:val="0"/>
          <w:numId w:val="1010"/>
        </w:numPr>
        <w:pStyle w:val="Compact"/>
      </w:pPr>
      <w:r>
        <w:t xml:space="preserve">Load official train/test split (322 / 80).</w:t>
      </w:r>
    </w:p>
    <w:p>
      <w:pPr>
        <w:numPr>
          <w:ilvl w:val="0"/>
          <w:numId w:val="1010"/>
        </w:numPr>
        <w:pStyle w:val="Compact"/>
      </w:pPr>
      <w:r>
        <w:t xml:space="preserve">Select 3 few-shot examples from the training set.</w:t>
      </w:r>
    </w:p>
    <w:bookmarkEnd w:id="39"/>
    <w:bookmarkStart w:id="40" w:name="phase-2-main-experiments"/>
    <w:p>
      <w:pPr>
        <w:pStyle w:val="Heading3"/>
      </w:pPr>
      <w:r>
        <w:t xml:space="preserve">Phase 2: Main Experiments</w:t>
      </w:r>
    </w:p>
    <w:p>
      <w:pPr>
        <w:pStyle w:val="FirstParagraph"/>
      </w:pPr>
      <w:r>
        <w:t xml:space="preserve">For each (model, method) combination:</w:t>
      </w:r>
    </w:p>
    <w:p>
      <w:pPr>
        <w:numPr>
          <w:ilvl w:val="0"/>
          <w:numId w:val="1011"/>
        </w:numPr>
        <w:pStyle w:val="Compact"/>
      </w:pPr>
      <w:r>
        <w:t xml:space="preserve">Iterate over all 80 test essays.</w:t>
      </w:r>
    </w:p>
    <w:p>
      <w:pPr>
        <w:numPr>
          <w:ilvl w:val="0"/>
          <w:numId w:val="1011"/>
        </w:numPr>
        <w:pStyle w:val="Compact"/>
      </w:pPr>
      <w:r>
        <w:t xml:space="preserve">Construct prompt(s) using the appropriate template.</w:t>
      </w:r>
    </w:p>
    <w:p>
      <w:pPr>
        <w:numPr>
          <w:ilvl w:val="0"/>
          <w:numId w:val="1011"/>
        </w:numPr>
        <w:pStyle w:val="Compact"/>
      </w:pPr>
      <w:r>
        <w:t xml:space="preserve">Call LLM via OpenRouter (temperature = 0).</w:t>
      </w:r>
    </w:p>
    <w:p>
      <w:pPr>
        <w:numPr>
          <w:ilvl w:val="0"/>
          <w:numId w:val="1011"/>
        </w:numPr>
        <w:pStyle w:val="Compact"/>
      </w:pPr>
      <w:r>
        <w:t xml:space="preserve">Parse output: extract JSON, fuzzy-match quoted text to essay character offsets.</w:t>
      </w:r>
    </w:p>
    <w:p>
      <w:pPr>
        <w:numPr>
          <w:ilvl w:val="0"/>
          <w:numId w:val="1011"/>
        </w:numPr>
        <w:pStyle w:val="Compact"/>
      </w:pPr>
      <w:r>
        <w:t xml:space="preserve">Save raw LLM output + parsed BAF per essay.</w:t>
      </w:r>
    </w:p>
    <w:p>
      <w:pPr>
        <w:numPr>
          <w:ilvl w:val="0"/>
          <w:numId w:val="1011"/>
        </w:numPr>
        <w:pStyle w:val="Compact"/>
      </w:pPr>
      <w:r>
        <w:t xml:space="preserve">Compute all metrics.</w:t>
      </w:r>
    </w:p>
    <w:p>
      <w:pPr>
        <w:numPr>
          <w:ilvl w:val="0"/>
          <w:numId w:val="1011"/>
        </w:numPr>
        <w:pStyle w:val="Compact"/>
      </w:pPr>
      <w:r>
        <w:t xml:space="preserve">Save aggregate results with bootstrap CIs.</w:t>
      </w:r>
    </w:p>
    <w:p>
      <w:pPr>
        <w:pStyle w:val="FirstParagraph"/>
      </w:pPr>
      <w:r>
        <w:t xml:space="preserve">Pipeline methods execute two sequential API calls per essay (step 1 output feeds into step 2). Errors in step 1 propagate naturally.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 </w:t>
      </w:r>
      <w:r>
        <w:t xml:space="preserve">flag allows re-running without repeating completed essays.</w:t>
      </w:r>
    </w:p>
    <w:bookmarkEnd w:id="40"/>
    <w:bookmarkStart w:id="41" w:name="phase-3-analysis"/>
    <w:p>
      <w:pPr>
        <w:pStyle w:val="Heading3"/>
      </w:pPr>
      <w:r>
        <w:t xml:space="preserve">Phase 3: Analysis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Main results table</w:t>
      </w:r>
      <w:r>
        <w:t xml:space="preserve">: models (rows) × methods (columns), reporting macro relation F1 with 95% CIs.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Per-type breakdown</w:t>
      </w:r>
      <w:r>
        <w:t xml:space="preserve">: support-F1 vs attack-F1 for each condition.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Argument identification table</w:t>
      </w:r>
      <w:r>
        <w:t xml:space="preserve">: span P/R/F1 for all end-to-end methods.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Gold-argument vs end-to-end gap</w:t>
      </w:r>
      <w:r>
        <w:t xml:space="preserve">: quantifies whether the bottleneck is span identification or relation extraction.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Parse success rates</w:t>
      </w:r>
      <w:r>
        <w:t xml:space="preserve">: identifies model/method combinations with output compliance issues.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Error analysis</w:t>
      </w:r>
      <w:r>
        <w:t xml:space="preserve"> </w:t>
      </w:r>
      <w:r>
        <w:t xml:space="preserve">on ~20 test essays from the best-performing condition, categorising errors as:</w:t>
      </w:r>
    </w:p>
    <w:p>
      <w:pPr>
        <w:numPr>
          <w:ilvl w:val="1"/>
          <w:numId w:val="1013"/>
        </w:numPr>
        <w:pStyle w:val="Compact"/>
      </w:pPr>
      <w:r>
        <w:t xml:space="preserve">Boundary errors (span too long/short)</w:t>
      </w:r>
    </w:p>
    <w:p>
      <w:pPr>
        <w:numPr>
          <w:ilvl w:val="1"/>
          <w:numId w:val="1013"/>
        </w:numPr>
        <w:pStyle w:val="Compact"/>
      </w:pPr>
      <w:r>
        <w:t xml:space="preserve">Missing vs hallucinated arguments</w:t>
      </w:r>
    </w:p>
    <w:p>
      <w:pPr>
        <w:numPr>
          <w:ilvl w:val="1"/>
          <w:numId w:val="1013"/>
        </w:numPr>
        <w:pStyle w:val="Compact"/>
      </w:pPr>
      <w:r>
        <w:t xml:space="preserve">Missing vs hallucinated relations</w:t>
      </w:r>
    </w:p>
    <w:p>
      <w:pPr>
        <w:numPr>
          <w:ilvl w:val="1"/>
          <w:numId w:val="1013"/>
        </w:numPr>
        <w:pStyle w:val="Compact"/>
      </w:pPr>
      <w:r>
        <w:t xml:space="preserve">Attack blindness (failure to detect rare attack relations)</w:t>
      </w:r>
    </w:p>
    <w:p>
      <w:pPr>
        <w:numPr>
          <w:ilvl w:val="1"/>
          <w:numId w:val="1013"/>
        </w:numPr>
        <w:pStyle w:val="Compact"/>
      </w:pPr>
      <w:r>
        <w:t xml:space="preserve">Structural issues (cycles, disconnected components)</w:t>
      </w:r>
    </w:p>
    <w:bookmarkEnd w:id="41"/>
    <w:bookmarkEnd w:id="42"/>
    <w:bookmarkStart w:id="43" w:name="hypotheses"/>
    <w:p>
      <w:pPr>
        <w:pStyle w:val="Heading2"/>
      </w:pPr>
      <w:r>
        <w:t xml:space="preserve">8. Hypotheses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50"/>
        <w:gridCol w:w="3484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 examples substantially improve BAF extraction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fs_e2e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zs_e2e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 reasoning helps relation identification more than argument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Sub-metric comparison:</w:t>
            </w:r>
            <w:r>
              <w:t xml:space="preserve"> </w:t>
            </w:r>
            <w:r>
              <w:rPr>
                <w:rStyle w:val="VerbatimChar"/>
              </w:rPr>
              <w:t xml:space="preserve">fs_cot_e2e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fs_e2e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decomposition helps, especially for relation extraction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fs_pipe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fs_e2e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Reasoning-specialised models (o3-mini) improve structural coherence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o3-mini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gpt-4o</w:t>
            </w:r>
            <w:r>
              <w:t xml:space="preserve"> </w:t>
            </w:r>
            <w:r>
              <w:t xml:space="preserve">on same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 relations are disproportionately harder than support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Support-F1 vs Attack-F1 across all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bottleneck is relation extraction, not argument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Gold-arg F1 vs end-to-end F1 gap</w:t>
            </w:r>
          </w:p>
        </w:tc>
      </w:tr>
    </w:tbl>
    <w:bookmarkEnd w:id="43"/>
    <w:bookmarkStart w:id="44" w:name="suggested-execution-order"/>
    <w:p>
      <w:pPr>
        <w:pStyle w:val="Heading2"/>
      </w:pPr>
      <w:r>
        <w:t xml:space="preserve">9. Suggested Execution Order</w:t>
      </w:r>
    </w:p>
    <w:p>
      <w:pPr>
        <w:pStyle w:val="FirstParagraph"/>
      </w:pPr>
      <w:r>
        <w:t xml:space="preserve">Given limited budget, run in this priority order (publishable results from step 3 onward):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zs_e2e</w:t>
      </w:r>
      <w:r>
        <w:t xml:space="preserve"> </w:t>
      </w:r>
      <w:r>
        <w:t xml:space="preserve">on GPT-4o, Claude 3.5 Sonnet, DeepSeek-V3 — feasibility check.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fs_e2e</w:t>
      </w:r>
      <w:r>
        <w:t xml:space="preserve"> </w:t>
      </w:r>
      <w:r>
        <w:t xml:space="preserve">on same 3 models — measure few-shot gain.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fs_pipe</w:t>
      </w:r>
      <w:r>
        <w:t xml:space="preserve"> </w:t>
      </w:r>
      <w:r>
        <w:t xml:space="preserve">on best model from step 2 — measure pipeline gain.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fs_cot_e2e</w:t>
      </w:r>
      <w:r>
        <w:t xml:space="preserve"> </w:t>
      </w:r>
      <w:r>
        <w:t xml:space="preserve">on best model — measure CoT gain.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gold_fs</w:t>
      </w:r>
      <w:r>
        <w:t xml:space="preserve"> </w:t>
      </w:r>
      <w:r>
        <w:t xml:space="preserve">on all 4 models — diagnostic for bottleneck analysis.</w:t>
      </w:r>
    </w:p>
    <w:p>
      <w:pPr>
        <w:numPr>
          <w:ilvl w:val="0"/>
          <w:numId w:val="1014"/>
        </w:numPr>
        <w:pStyle w:val="Compact"/>
      </w:pPr>
      <w:r>
        <w:t xml:space="preserve">Fill remaining cells of the model × method matrix.</w:t>
      </w:r>
    </w:p>
    <w:p>
      <w:pPr>
        <w:numPr>
          <w:ilvl w:val="0"/>
          <w:numId w:val="1014"/>
        </w:numPr>
        <w:pStyle w:val="Compact"/>
      </w:pPr>
      <w:r>
        <w:t xml:space="preserve">Error analysis.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2026-02-06T19:58:02Z</dcterms:created>
  <dcterms:modified xsi:type="dcterms:W3CDTF">2026-02-06T19:58:02Z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