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pPr>
      <w:r>
        <w:rPr/>
        <w:t>Japanese Tort-Case Dataset: An Introduction</w:t>
      </w:r>
    </w:p>
    <w:p>
      <w:pPr>
        <w:pStyle w:val="Heading2"/>
        <w:rPr/>
      </w:pPr>
      <w:r>
        <w:rPr/>
        <w:t>1. Overview</w:t>
      </w:r>
    </w:p>
    <w:p>
      <w:pPr>
        <w:pStyle w:val="Normal"/>
        <w:rPr/>
      </w:pPr>
      <w:r>
        <w:rPr/>
        <w:t>The Japanese Tort-Case Dataset (JTD) is a large-scale annotated dataset of Japanese civil tort cases, originally constructed by Yamada et al. (2024) and released for the COLIEE 2026 competition (Pilot Task LJPJT26). It is derived from real court judgments on tort liability under Japanese Civil Code Article 709, which concerns "negligent or intentional infringement of rights or legal interests." The dataset was annotated by 41 legal domain experts.</w:t>
      </w:r>
    </w:p>
    <w:p>
      <w:pPr>
        <w:pStyle w:val="Normal"/>
        <w:rPr/>
      </w:pPr>
      <w:r>
        <w:rPr/>
        <w:t>The dataset supports two tasks: (1) Tort Prediction (TP) — predicting whether the court affirms the tort claim; and (2) Rationale Extraction (RE) — identifying which arguments from each party the court accepted. Together, these tasks enable research on explainable legal judgment prediction.</w:t>
      </w:r>
    </w:p>
    <w:p>
      <w:pPr>
        <w:pStyle w:val="Heading2"/>
        <w:rPr/>
      </w:pPr>
      <w:r>
        <w:rPr/>
        <w:t>2. Dataset Statistics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Statistic</w:t>
            </w:r>
          </w:p>
        </w:tc>
        <w:tc>
          <w:tcPr>
            <w:tcW w:w="4319" w:type="dxa"/>
            <w:tcBorders>
              <w:bottom w:val="single" w:sz="18" w:space="0" w:color="4F81BD"/>
            </w:tcBorders>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Value</w:t>
            </w:r>
          </w:p>
        </w:tc>
      </w:tr>
      <w:tr>
        <w:trPr/>
        <w:tc>
          <w:tcPr>
            <w:tcW w:w="4320" w:type="dxa"/>
            <w:tcBorders/>
            <w:shd w:color="auto" w:fill="D3DFEE" w:themeFill="accent1" w:themeFillTint="3f" w:val="clear"/>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Total cases</w:t>
            </w:r>
          </w:p>
        </w:tc>
        <w:tc>
          <w:tcPr>
            <w:tcW w:w="4319" w:type="dxa"/>
            <w:tcBorders/>
            <w:shd w:color="auto" w:fill="D3DFEE" w:themeFill="accent1" w:themeFillTint="3f" w:val="clear"/>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6,508</w:t>
            </w:r>
          </w:p>
        </w:tc>
      </w:tr>
      <w:tr>
        <w:trPr/>
        <w:tc>
          <w:tcPr>
            <w:tcW w:w="4320" w:type="dxa"/>
            <w:tcBorders/>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Tort affirmed (decision = true)</w:t>
            </w:r>
          </w:p>
        </w:tc>
        <w:tc>
          <w:tcPr>
            <w:tcW w:w="4319" w:type="dxa"/>
            <w:tcBorders/>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2,569 (39.1%)</w:t>
            </w:r>
          </w:p>
        </w:tc>
      </w:tr>
      <w:tr>
        <w:trPr/>
        <w:tc>
          <w:tcPr>
            <w:tcW w:w="4320" w:type="dxa"/>
            <w:tcBorders/>
            <w:shd w:color="auto" w:fill="D3DFEE" w:themeFill="accent1" w:themeFillTint="3f" w:val="clear"/>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Tort denied (decision = false)</w:t>
            </w:r>
          </w:p>
        </w:tc>
        <w:tc>
          <w:tcPr>
            <w:tcW w:w="4319" w:type="dxa"/>
            <w:tcBorders/>
            <w:shd w:color="auto" w:fill="D3DFEE" w:themeFill="accent1" w:themeFillTint="3f" w:val="clear"/>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3,939 (60.5%)</w:t>
            </w:r>
          </w:p>
        </w:tc>
      </w:tr>
      <w:tr>
        <w:trPr/>
        <w:tc>
          <w:tcPr>
            <w:tcW w:w="4320" w:type="dxa"/>
            <w:tcBorders/>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Total plaintiff claims</w:t>
            </w:r>
          </w:p>
        </w:tc>
        <w:tc>
          <w:tcPr>
            <w:tcW w:w="4319" w:type="dxa"/>
            <w:tcBorders/>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25,231</w:t>
            </w:r>
          </w:p>
        </w:tc>
      </w:tr>
      <w:tr>
        <w:trPr/>
        <w:tc>
          <w:tcPr>
            <w:tcW w:w="4320" w:type="dxa"/>
            <w:tcBorders/>
            <w:shd w:color="auto" w:fill="D3DFEE" w:themeFill="accent1" w:themeFillTint="3f" w:val="clear"/>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Total defendant claims</w:t>
            </w:r>
          </w:p>
        </w:tc>
        <w:tc>
          <w:tcPr>
            <w:tcW w:w="4319" w:type="dxa"/>
            <w:tcBorders/>
            <w:shd w:color="auto" w:fill="D3DFEE" w:themeFill="accent1" w:themeFillTint="3f" w:val="clear"/>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22,458</w:t>
            </w:r>
          </w:p>
        </w:tc>
      </w:tr>
      <w:tr>
        <w:trPr/>
        <w:tc>
          <w:tcPr>
            <w:tcW w:w="4320" w:type="dxa"/>
            <w:tcBorders/>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Plaintiff claims accepted</w:t>
            </w:r>
          </w:p>
        </w:tc>
        <w:tc>
          <w:tcPr>
            <w:tcW w:w="4319" w:type="dxa"/>
            <w:tcBorders/>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12,960 (51.4%)</w:t>
            </w:r>
          </w:p>
        </w:tc>
      </w:tr>
      <w:tr>
        <w:trPr/>
        <w:tc>
          <w:tcPr>
            <w:tcW w:w="4320" w:type="dxa"/>
            <w:tcBorders/>
            <w:shd w:color="auto" w:fill="D3DFEE" w:themeFill="accent1" w:themeFillTint="3f" w:val="clear"/>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Defendant claims accepted</w:t>
            </w:r>
          </w:p>
        </w:tc>
        <w:tc>
          <w:tcPr>
            <w:tcW w:w="4319" w:type="dxa"/>
            <w:tcBorders/>
            <w:shd w:color="auto" w:fill="D3DFEE" w:themeFill="accent1" w:themeFillTint="3f" w:val="clear"/>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11,431 (50.9%)</w:t>
            </w:r>
          </w:p>
        </w:tc>
      </w:tr>
      <w:tr>
        <w:trPr/>
        <w:tc>
          <w:tcPr>
            <w:tcW w:w="4320" w:type="dxa"/>
            <w:tcBorders/>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Undisputed facts per case (mean / median)</w:t>
            </w:r>
          </w:p>
        </w:tc>
        <w:tc>
          <w:tcPr>
            <w:tcW w:w="4319" w:type="dxa"/>
            <w:tcBorders/>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1.3 / 0</w:t>
            </w:r>
          </w:p>
        </w:tc>
      </w:tr>
      <w:tr>
        <w:trPr/>
        <w:tc>
          <w:tcPr>
            <w:tcW w:w="4320" w:type="dxa"/>
            <w:tcBorders/>
            <w:shd w:color="auto" w:fill="D3DFEE" w:themeFill="accent1" w:themeFillTint="3f" w:val="clear"/>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Plaintiff claims per case (mean / median)</w:t>
            </w:r>
          </w:p>
        </w:tc>
        <w:tc>
          <w:tcPr>
            <w:tcW w:w="4319" w:type="dxa"/>
            <w:tcBorders/>
            <w:shd w:color="auto" w:fill="D3DFEE" w:themeFill="accent1" w:themeFillTint="3f" w:val="clear"/>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3.9 / 2</w:t>
            </w:r>
          </w:p>
        </w:tc>
      </w:tr>
      <w:tr>
        <w:trPr/>
        <w:tc>
          <w:tcPr>
            <w:tcW w:w="4320" w:type="dxa"/>
            <w:tcBorders/>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Defendant claims per case (mean / median)</w:t>
            </w:r>
          </w:p>
        </w:tc>
        <w:tc>
          <w:tcPr>
            <w:tcW w:w="4319" w:type="dxa"/>
            <w:tcBorders/>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3.5 / 2</w:t>
            </w:r>
          </w:p>
        </w:tc>
      </w:tr>
    </w:tbl>
    <w:p>
      <w:pPr>
        <w:pStyle w:val="Normal"/>
        <w:rPr/>
      </w:pPr>
      <w:r>
        <w:rPr/>
        <w:t>Note: Only the training set (6,508 cases) is publicly released. The test set is held private for competition evaluation.</w:t>
      </w:r>
    </w:p>
    <w:p>
      <w:pPr>
        <w:pStyle w:val="Heading2"/>
        <w:rPr/>
      </w:pPr>
      <w:r>
        <w:rPr/>
        <w:t>3. Data Schema</w:t>
      </w:r>
    </w:p>
    <w:p>
      <w:pPr>
        <w:pStyle w:val="Normal"/>
        <w:rPr/>
      </w:pPr>
      <w:r>
        <w:rPr/>
        <w:t>Each case is a JSON object (one per line in a .jsonl file) with the following fields: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Field</w:t>
            </w:r>
          </w:p>
        </w:tc>
        <w:tc>
          <w:tcPr>
            <w:tcW w:w="2880" w:type="dxa"/>
            <w:tcBorders>
              <w:bottom w:val="single" w:sz="18" w:space="0" w:color="4F81BD"/>
            </w:tcBorders>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Type</w:t>
            </w:r>
          </w:p>
        </w:tc>
        <w:tc>
          <w:tcPr>
            <w:tcW w:w="2880" w:type="dxa"/>
            <w:tcBorders>
              <w:bottom w:val="single" w:sz="18" w:space="0" w:color="4F81BD"/>
            </w:tcBorders>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Description</w:t>
            </w:r>
          </w:p>
        </w:tc>
      </w:tr>
      <w:tr>
        <w:trPr/>
        <w:tc>
          <w:tcPr>
            <w:tcW w:w="2880" w:type="dxa"/>
            <w:tcBorders/>
            <w:shd w:color="auto" w:fill="D3DFEE" w:themeFill="accent1" w:themeFillTint="3f" w:val="clear"/>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version</w:t>
            </w:r>
          </w:p>
        </w:tc>
        <w:tc>
          <w:tcPr>
            <w:tcW w:w="2880" w:type="dxa"/>
            <w:tcBorders/>
            <w:shd w:color="auto" w:fill="D3DFEE" w:themeFill="accent1" w:themeFillTint="3f" w:val="clear"/>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string</w:t>
            </w:r>
          </w:p>
        </w:tc>
        <w:tc>
          <w:tcPr>
            <w:tcW w:w="2880" w:type="dxa"/>
            <w:tcBorders/>
            <w:shd w:color="auto" w:fill="D3DFEE" w:themeFill="accent1" w:themeFillTint="3f" w:val="clear"/>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Dataset version identifier (e.g., "train001.jsonl")</w:t>
            </w:r>
          </w:p>
        </w:tc>
      </w:tr>
      <w:tr>
        <w:trPr/>
        <w:tc>
          <w:tcPr>
            <w:tcW w:w="2880" w:type="dxa"/>
            <w:tcBorders/>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tort_id</w:t>
            </w:r>
          </w:p>
        </w:tc>
        <w:tc>
          <w:tcPr>
            <w:tcW w:w="2880" w:type="dxa"/>
            <w:tcBorders/>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string</w:t>
            </w:r>
          </w:p>
        </w:tc>
        <w:tc>
          <w:tcPr>
            <w:tcW w:w="2880" w:type="dxa"/>
            <w:tcBorders/>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Unique case identifier (e.g., "0", "1", ...)</w:t>
            </w:r>
          </w:p>
        </w:tc>
      </w:tr>
      <w:tr>
        <w:trPr/>
        <w:tc>
          <w:tcPr>
            <w:tcW w:w="2880" w:type="dxa"/>
            <w:tcBorders/>
            <w:shd w:color="auto" w:fill="D3DFEE" w:themeFill="accent1" w:themeFillTint="3f" w:val="clear"/>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undisputed_facts</w:t>
            </w:r>
          </w:p>
        </w:tc>
        <w:tc>
          <w:tcPr>
            <w:tcW w:w="2880" w:type="dxa"/>
            <w:tcBorders/>
            <w:shd w:color="auto" w:fill="D3DFEE" w:themeFill="accent1" w:themeFillTint="3f" w:val="clear"/>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array</w:t>
            </w:r>
          </w:p>
        </w:tc>
        <w:tc>
          <w:tcPr>
            <w:tcW w:w="2880" w:type="dxa"/>
            <w:tcBorders/>
            <w:shd w:color="auto" w:fill="D3DFEE" w:themeFill="accent1" w:themeFillTint="3f" w:val="clear"/>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Facts agreed upon by both parties. Each element has id (string) and description (string).</w:t>
            </w:r>
          </w:p>
        </w:tc>
      </w:tr>
      <w:tr>
        <w:trPr/>
        <w:tc>
          <w:tcPr>
            <w:tcW w:w="2880" w:type="dxa"/>
            <w:tcBorders/>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plaintiff_claims</w:t>
            </w:r>
          </w:p>
        </w:tc>
        <w:tc>
          <w:tcPr>
            <w:tcW w:w="2880" w:type="dxa"/>
            <w:tcBorders/>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array</w:t>
            </w:r>
          </w:p>
        </w:tc>
        <w:tc>
          <w:tcPr>
            <w:tcW w:w="2880" w:type="dxa"/>
            <w:tcBorders/>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Arguments raised by the plaintiff. Each element has id (string), description (string), and is_accepted (boolean).</w:t>
            </w:r>
          </w:p>
        </w:tc>
      </w:tr>
      <w:tr>
        <w:trPr/>
        <w:tc>
          <w:tcPr>
            <w:tcW w:w="2880" w:type="dxa"/>
            <w:tcBorders/>
            <w:shd w:color="auto" w:fill="D3DFEE" w:themeFill="accent1" w:themeFillTint="3f" w:val="clear"/>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defendant_claims</w:t>
            </w:r>
          </w:p>
        </w:tc>
        <w:tc>
          <w:tcPr>
            <w:tcW w:w="2880" w:type="dxa"/>
            <w:tcBorders/>
            <w:shd w:color="auto" w:fill="D3DFEE" w:themeFill="accent1" w:themeFillTint="3f" w:val="clear"/>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array</w:t>
            </w:r>
          </w:p>
        </w:tc>
        <w:tc>
          <w:tcPr>
            <w:tcW w:w="2880" w:type="dxa"/>
            <w:tcBorders/>
            <w:shd w:color="auto" w:fill="D3DFEE" w:themeFill="accent1" w:themeFillTint="3f" w:val="clear"/>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Arguments raised by the defendant. Each element has id (string), description (string), and is_accepted (boolean).</w:t>
            </w:r>
          </w:p>
        </w:tc>
      </w:tr>
      <w:tr>
        <w:trPr/>
        <w:tc>
          <w:tcPr>
            <w:tcW w:w="2880" w:type="dxa"/>
            <w:tcBorders/>
          </w:tcPr>
          <w:p>
            <w:pPr>
              <w:pStyle w:val="Normal"/>
              <w:widowControl/>
              <w:suppressAutoHyphens w:val="true"/>
              <w:spacing w:lineRule="auto" w:line="240" w:before="0" w:after="80"/>
              <w:jc w:val="left"/>
              <w:rPr>
                <w:rFonts w:eastAsia="ＭＳ ゴシック" w:cs=""/>
                <w:b/>
                <w:bCs/>
                <w:kern w:val="0"/>
                <w:szCs w:val="22"/>
                <w:lang w:val="en-US" w:eastAsia="en-US" w:bidi="ar-SA"/>
              </w:rPr>
            </w:pPr>
            <w:r>
              <w:rPr>
                <w:rFonts w:eastAsia="ＭＳ ゴシック" w:cs=""/>
                <w:b/>
                <w:bCs/>
                <w:kern w:val="0"/>
                <w:szCs w:val="22"/>
                <w:lang w:val="en-US" w:eastAsia="en-US" w:bidi="ar-SA"/>
              </w:rPr>
              <w:t>court_decision</w:t>
            </w:r>
          </w:p>
        </w:tc>
        <w:tc>
          <w:tcPr>
            <w:tcW w:w="2880" w:type="dxa"/>
            <w:tcBorders/>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boolean</w:t>
            </w:r>
          </w:p>
        </w:tc>
        <w:tc>
          <w:tcPr>
            <w:tcW w:w="2880" w:type="dxa"/>
            <w:tcBorders/>
          </w:tcPr>
          <w:p>
            <w:pPr>
              <w:pStyle w:val="Normal"/>
              <w:widowControl/>
              <w:suppressAutoHyphens w:val="true"/>
              <w:spacing w:lineRule="auto" w:line="240" w:before="0" w:after="80"/>
              <w:jc w:val="left"/>
              <w:rPr>
                <w:rFonts w:eastAsia="ＭＳ 明朝" w:cs=""/>
                <w:kern w:val="0"/>
                <w:szCs w:val="22"/>
                <w:lang w:val="en-US" w:eastAsia="en-US" w:bidi="ar-SA"/>
              </w:rPr>
            </w:pPr>
            <w:r>
              <w:rPr>
                <w:rFonts w:eastAsia="ＭＳ 明朝" w:cs=""/>
                <w:kern w:val="0"/>
                <w:szCs w:val="22"/>
                <w:lang w:val="en-US" w:eastAsia="en-US" w:bidi="ar-SA"/>
              </w:rPr>
              <w:t>true if the tort claim is affirmed; false if denied.</w:t>
            </w:r>
          </w:p>
        </w:tc>
      </w:tr>
    </w:tbl>
    <w:p>
      <w:pPr>
        <w:pStyle w:val="Heading2"/>
        <w:rPr/>
      </w:pPr>
      <w:r>
        <w:rPr/>
        <w:t>4. Task Definition</w:t>
      </w:r>
    </w:p>
    <w:p>
      <w:pPr>
        <w:pStyle w:val="Normal"/>
        <w:rPr/>
      </w:pPr>
      <w:r>
        <w:rPr/>
        <w:t>Given the undisputed facts (U), plaintiff claims (P), and defendant claims (D) for a tort case:</w:t>
      </w:r>
    </w:p>
    <w:p>
      <w:pPr>
        <w:pStyle w:val="Normal"/>
        <w:ind w:left="432"/>
        <w:rPr/>
      </w:pPr>
      <w:r>
        <w:rPr>
          <w:b/>
        </w:rPr>
        <w:t xml:space="preserve">Tort Prediction (TP): </w:t>
      </w:r>
      <w:r>
        <w:rPr/>
        <w:t>Output a boolean T indicating whether the tort claim is affirmed.</w:t>
      </w:r>
    </w:p>
    <w:p>
      <w:pPr>
        <w:pStyle w:val="Normal"/>
        <w:ind w:left="432"/>
        <w:rPr/>
      </w:pPr>
      <w:r>
        <w:rPr>
          <w:b/>
        </w:rPr>
        <w:t xml:space="preserve">Rationale Extraction (RE): </w:t>
      </w:r>
      <w:r>
        <w:rPr/>
        <w:t>Output boolean sequences R^P and R^D indicating which plaintiff and defendant claims, respectively, are accepted by the court as rationale for its decision.</w:t>
      </w:r>
    </w:p>
    <w:p>
      <w:pPr>
        <w:pStyle w:val="Heading2"/>
        <w:rPr/>
      </w:pPr>
      <w:r>
        <w:rPr/>
        <w:t>5. Examples</w:t>
      </w:r>
    </w:p>
    <w:p>
      <w:pPr>
        <w:pStyle w:val="Normal"/>
        <w:rPr/>
      </w:pPr>
      <w:r>
        <w:rPr/>
        <w:t>Below are two abridged examples with English translations. The original text is in Japanese legal language; translations preserve the style and tone.</w:t>
      </w:r>
    </w:p>
    <w:p>
      <w:pPr>
        <w:pStyle w:val="Heading3"/>
        <w:rPr/>
      </w:pPr>
      <w:r>
        <w:rPr/>
        <w:t>Example 1: Online Defamation (tort_id = 465, decision = true)</w:t>
      </w:r>
    </w:p>
    <w:p>
      <w:pPr>
        <w:pStyle w:val="Normal"/>
        <w:rPr/>
      </w:pPr>
      <w:r>
        <w:rPr>
          <w:b/>
        </w:rPr>
        <w:t>Undisputed Facts:</w:t>
      </w:r>
    </w:p>
    <w:p>
      <w:pPr>
        <w:pStyle w:val="ListBullet"/>
        <w:numPr>
          <w:ilvl w:val="0"/>
          <w:numId w:val="1"/>
        </w:numPr>
        <w:rPr/>
      </w:pPr>
      <w:r>
        <w:rPr/>
        <w:t>[0] Defamatory statements listed in the appendix have been posted on the bulletin board in question (hereinafter collectively referred to as "the Statements").</w:t>
      </w:r>
    </w:p>
    <w:p>
      <w:pPr>
        <w:pStyle w:val="ListBullet"/>
        <w:numPr>
          <w:ilvl w:val="0"/>
          <w:numId w:val="1"/>
        </w:numPr>
        <w:rPr/>
      </w:pPr>
      <w:r>
        <w:rPr>
          <w:sz w:val="18"/>
        </w:rPr>
        <w:t xml:space="preserve">(Original: </w:t>
      </w:r>
      <w:r>
        <w:rPr>
          <w:sz w:val="18"/>
        </w:rPr>
        <w:t>本件掲示板に別紙名誉毀損発言記載の文言が書き込まれている。</w:t>
      </w:r>
      <w:r>
        <w:rPr>
          <w:sz w:val="18"/>
        </w:rPr>
        <w:t>)</w:t>
      </w:r>
    </w:p>
    <w:p>
      <w:pPr>
        <w:pStyle w:val="Normal"/>
        <w:rPr/>
      </w:pPr>
      <w:r>
        <w:rPr>
          <w:b/>
        </w:rPr>
        <w:t>Plaintiff Claims:</w:t>
      </w:r>
    </w:p>
    <w:p>
      <w:pPr>
        <w:pStyle w:val="ListBullet"/>
        <w:numPr>
          <w:ilvl w:val="0"/>
          <w:numId w:val="1"/>
        </w:numPr>
        <w:rPr/>
      </w:pPr>
      <w:r>
        <w:rPr/>
        <w:t>[0] (accepted) The plaintiffs may demand deletion of the Statements based on personality rights, and only the defendant is capable of performing such deletion.</w:t>
      </w:r>
    </w:p>
    <w:p>
      <w:pPr>
        <w:pStyle w:val="ListBullet"/>
        <w:numPr>
          <w:ilvl w:val="0"/>
          <w:numId w:val="1"/>
        </w:numPr>
        <w:rPr/>
      </w:pPr>
      <w:r>
        <w:rPr/>
        <w:t xml:space="preserve">[1] (accepted) The defendant, despite knowing that the Statements defaming the plaintiffs' reputation and credibility were posted on the bulletin board, and despite being able to delete them, has failed to do so. </w:t>
      </w:r>
      <w:r>
        <w:rPr/>
        <w:t>T</w:t>
      </w:r>
      <w:r>
        <w:rPr/>
        <w:t>his constitutes a tort against the plaintiffs.</w:t>
      </w:r>
    </w:p>
    <w:p>
      <w:pPr>
        <w:pStyle w:val="ListBullet"/>
        <w:numPr>
          <w:ilvl w:val="0"/>
          <w:numId w:val="1"/>
        </w:numPr>
        <w:rPr/>
      </w:pPr>
      <w:r>
        <w:rPr/>
        <w:t>[2] (accepted) The Statements extremely ridicule the plaintiffs and are vulgar and contemptible, damaging the plaintiffs' reputation and credibility. They have been disseminated to an unspecified large number of people via the internet.</w:t>
      </w:r>
    </w:p>
    <w:p>
      <w:pPr>
        <w:pStyle w:val="Normal"/>
        <w:rPr/>
      </w:pPr>
      <w:r>
        <w:rPr>
          <w:b/>
        </w:rPr>
        <w:t>Defendant Claims:</w:t>
      </w:r>
    </w:p>
    <w:p>
      <w:pPr>
        <w:pStyle w:val="ListBullet"/>
        <w:numPr>
          <w:ilvl w:val="0"/>
          <w:numId w:val="1"/>
        </w:numPr>
        <w:rPr/>
      </w:pPr>
      <w:r>
        <w:rPr/>
        <w:t>[0] (rejected) The access logs identifying the posters are retained for a certain period, so it is possible to identify the posters and pursue their legal liability.</w:t>
      </w:r>
    </w:p>
    <w:p>
      <w:pPr>
        <w:pStyle w:val="ListBullet"/>
        <w:numPr>
          <w:ilvl w:val="0"/>
          <w:numId w:val="1"/>
        </w:numPr>
        <w:rPr/>
      </w:pPr>
      <w:r>
        <w:rPr/>
        <w:t>[1] (rejected) The truthfulness of the content is also unclear, so it cannot be categorically determined whether this constitutes defamation.</w:t>
      </w:r>
    </w:p>
    <w:p>
      <w:pPr>
        <w:pStyle w:val="ListBullet"/>
        <w:numPr>
          <w:ilvl w:val="0"/>
          <w:numId w:val="1"/>
        </w:numPr>
        <w:rPr/>
      </w:pPr>
      <w:r>
        <w:rPr/>
        <w:t>[2] (rejected) It was unclear where on the bulletin board the Statements in question were located.</w:t>
      </w:r>
    </w:p>
    <w:p>
      <w:pPr>
        <w:pStyle w:val="Normal"/>
        <w:rPr/>
      </w:pPr>
      <w:r>
        <w:rPr>
          <w:b/>
        </w:rPr>
        <w:t>Court Decision: Tort affirmed (true).</w:t>
      </w:r>
    </w:p>
    <w:p>
      <w:pPr>
        <w:pStyle w:val="Heading3"/>
        <w:rPr/>
      </w:pPr>
      <w:r>
        <w:rPr/>
        <w:t>Example 2: Media Defamation of Politician (tort_id = 107, decision = false)</w:t>
      </w:r>
    </w:p>
    <w:p>
      <w:pPr>
        <w:pStyle w:val="Normal"/>
        <w:rPr/>
      </w:pPr>
      <w:r>
        <w:rPr>
          <w:b/>
        </w:rPr>
        <w:t>Undisputed Facts:</w:t>
      </w:r>
    </w:p>
    <w:p>
      <w:pPr>
        <w:pStyle w:val="ListBullet"/>
        <w:numPr>
          <w:ilvl w:val="0"/>
          <w:numId w:val="1"/>
        </w:numPr>
        <w:rPr/>
      </w:pPr>
      <w:r>
        <w:rPr/>
        <w:t>[0] The article in question, by reporting that the plaintiff had been directly asked by F to deal with the three organizations prior to the Diet session — on the premise of the content of Article 1 — reinforces the plaintiff's culpability in exploiting the Diet inquiry, raises doubts about the plaintiff's integrity as a Diet member, significantly lowers the plaintiff's social standing, and defames the plaintiff.</w:t>
      </w:r>
    </w:p>
    <w:p>
      <w:pPr>
        <w:pStyle w:val="Normal"/>
        <w:rPr/>
      </w:pPr>
      <w:r>
        <w:rPr>
          <w:b/>
        </w:rPr>
        <w:t>Plaintiff Claims:</w:t>
      </w:r>
    </w:p>
    <w:p>
      <w:pPr>
        <w:pStyle w:val="ListBullet"/>
        <w:numPr>
          <w:ilvl w:val="0"/>
          <w:numId w:val="1"/>
        </w:numPr>
        <w:rPr/>
      </w:pPr>
      <w:r>
        <w:rPr/>
        <w:t>[0] (rejected) The facts stated in Article 3 are as described above, and the portions identical to Article 1 lack truthfulness.</w:t>
      </w:r>
    </w:p>
    <w:p>
      <w:pPr>
        <w:pStyle w:val="ListBullet"/>
        <w:numPr>
          <w:ilvl w:val="0"/>
          <w:numId w:val="1"/>
        </w:numPr>
        <w:rPr/>
      </w:pPr>
      <w:r>
        <w:rPr/>
        <w:t>[1] (rejected) The defendant admits not knowing whether F explicitly asked the plaintiff to deal with the three organizations; B's testimony was not sufficiently detailed to be credible.</w:t>
      </w:r>
    </w:p>
    <w:p>
      <w:pPr>
        <w:pStyle w:val="Normal"/>
        <w:rPr/>
      </w:pPr>
      <w:r>
        <w:rPr>
          <w:b/>
        </w:rPr>
        <w:t>Defendant Claims:</w:t>
      </w:r>
    </w:p>
    <w:p>
      <w:pPr>
        <w:pStyle w:val="ListBullet"/>
        <w:numPr>
          <w:ilvl w:val="0"/>
          <w:numId w:val="1"/>
        </w:numPr>
        <w:rPr/>
      </w:pPr>
      <w:r>
        <w:rPr/>
        <w:t>[0] (accepted) The facts stated in Article 3 are as described above, and the facts with the same purport as Article 1 are true.</w:t>
      </w:r>
    </w:p>
    <w:p>
      <w:pPr>
        <w:pStyle w:val="ListBullet"/>
        <w:numPr>
          <w:ilvl w:val="0"/>
          <w:numId w:val="1"/>
        </w:numPr>
        <w:rPr/>
      </w:pPr>
      <w:r>
        <w:rPr/>
        <w:t>[1] (accepted) Other media outlets also confirmed similar facts from a credible person who had knowledge of F's statements; therefore the facts are either true or the defendant had reasonable grounds to believe them to be true.</w:t>
      </w:r>
    </w:p>
    <w:p>
      <w:pPr>
        <w:pStyle w:val="Normal"/>
        <w:rPr/>
      </w:pPr>
      <w:r>
        <w:rPr>
          <w:b/>
        </w:rPr>
        <w:t>Court Decision: Tort denied (false).</w:t>
      </w:r>
    </w:p>
    <w:p>
      <w:pPr>
        <w:pStyle w:val="Heading2"/>
        <w:rPr/>
      </w:pPr>
      <w:r>
        <w:rPr/>
        <w:t>6. References</w:t>
      </w:r>
    </w:p>
    <w:p>
      <w:pPr>
        <w:pStyle w:val="Normal"/>
        <w:rPr/>
      </w:pPr>
      <w:r>
        <w:rPr/>
        <w:t>Yamada, H., Tokunaga, T., Ohara, R., Tokutsu, A., Takeshita, K., &amp; Sumida, M. (2024). Japanese Tort-case Dataset for Rationale-supported Legal Judgment Prediction. Artificial Intelligence and Law, 33(3), 783–807. https://arxiv.org/abs/2312.00480</w:t>
      </w:r>
    </w:p>
    <w:p>
      <w:pPr>
        <w:pStyle w:val="Normal"/>
        <w:widowControl/>
        <w:bidi w:val="0"/>
        <w:spacing w:lineRule="auto" w:line="276" w:before="0" w:after="80"/>
        <w:jc w:val="left"/>
        <w:rPr/>
      </w:pPr>
      <w:r>
        <w:rPr/>
        <w:t>COLIEE 2026 Pilot Task (LJPJT26): Legal Judgment Prediction for Japanese Tort Cases. https://coliee.org/COLIEE2026/tasks/pilot-task</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left"/>
    </w:pPr>
    <w:rPr>
      <w:rFonts w:ascii="Times New Roman" w:hAnsi="Times New Roman"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00000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Application>LibreOffice/24.2.7.2$Linux_X86_64 LibreOffice_project/420$Build-2</Application>
  <AppVersion>15.0000</AppVersion>
  <Pages>3</Pages>
  <Words>880</Words>
  <Characters>4862</Characters>
  <CharactersWithSpaces>5620</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2026-03-06T13:40:56Z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