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2026-05-18 每日复盘：冰点情绪下的牛市格局，聚焦半导体/光伏B3机会</w:t>
      </w:r>
    </w:p>
    <w:p>
      <w:pPr>
        <w:pStyle w:val="Heading2"/>
      </w:pPr>
      <w:r>
        <w:t>一、大盘研判: 量价关系与市场结构</w:t>
      </w:r>
    </w:p>
    <w:p>
      <w:r>
        <w:t>今日上证指数收盘报4135.4点，跌幅-1.02%，量能维持平量（量比1.1x）。市场呈现典型的“冰点情绪”特征——上涨率仅0%，但涨停家数仍高达107家，跌停0家，表明市场并非系统性崩溃，而是结构性的分化与洗盘。</w:t>
      </w:r>
    </w:p>
    <w:p>
      <w:r>
        <w:t>从量价关系看，平量下跌意味着卖盘并未显著放大，属于存量博弈下的正常回调。动量评分+0.18、趋势评分+0.00，系统判定为“牛市，情绪冰点，亏钱效应强”，这恰恰是缠论第17课《走势终完美》的核心逻辑——牛市中的冰点往往是调整尾声，而非趋势逆转。</w:t>
      </w:r>
    </w:p>
    <w:p>
      <w:r/>
      <w:r>
        <w:rPr>
          <w:b/>
        </w:rPr>
        <w:t>大盘K线+MACD示意图</w:t>
      </w:r>
      <w:r>
        <w:t>（模拟近期走势）：</w:t>
      </w:r>
    </w:p>
    <w:p>
      <w:pPr/>
      <w:r>
        <w:rPr>
          <w:rFonts w:ascii="Courier New" w:hAnsi="Courier New"/>
          <w:sz w:val="14"/>
        </w:rPr>
        <w:t xml:space="preserve">  上证指数日线K线图                MACD指标</w:t>
        <w:br/>
        <w:t xml:space="preserve">  ^                                 ^</w:t>
        <w:br/>
        <w:t xml:space="preserve">  |+|  |#|  |+|  |#|  |#|           |  ####   &lt;-前段上涨，MACD柱面积较大</w:t>
        <w:br/>
        <w:t xml:space="preserve">  |+|  |#|  |+|  |#|  |#|           |  #####</w:t>
        <w:br/>
        <w:t xml:space="preserve">  |+|  |#|  |+|  |#|  |#|   &lt;-回调  |  ######</w:t>
        <w:br/>
        <w:t xml:space="preserve">  |+|  |+|  |+|  |#|  |#|           |  #####</w:t>
        <w:br/>
        <w:t xml:space="preserve">  |+|  |+|  |+|  |#|  |#|           |  ####   &lt;-回调段MACD柱面积缩小</w:t>
        <w:br/>
        <w:t xml:space="preserve">  +------------------------&gt;         +----------------------&gt;</w:t>
        <w:br/>
        <w:t xml:space="preserve">     高位震荡，量能萎缩               MACD回抽0轴，未破位</w:t>
      </w:r>
    </w:p>
    <w:p>
      <w:r/>
      <w:r>
        <w:rPr>
          <w:b/>
        </w:rPr>
        <w:t>明日应对</w:t>
      </w:r>
      <w:r>
        <w:t>：关键在于4100点附近能否形成底分型。若明日缩量止跌+30分钟级别MACD金叉，则冰点后的修复行情可期；若放量跌破4100，则需警惕升级为日线级别调整。操作上，控制仓位在5成以下，优先关注今日抗跌的B3买点个股。</w:t>
      </w:r>
    </w:p>
    <w:p>
      <w:pPr>
        <w:pStyle w:val="Heading2"/>
      </w:pPr>
      <w:r>
        <w:t>二、板块拆解: 主线识别与梯队分析</w:t>
      </w:r>
    </w:p>
    <w:p>
      <w:r>
        <w:t>板块梯队评分显示，当前市场有6个强主线板块和2个次主线板块。半导体/光伏、自动化/制造、新能源车/风电三大板块梯队完整，是当前资金主攻方向。</w:t>
      </w:r>
    </w:p>
    <w:p>
      <w:r/>
      <w:r>
        <w:rPr>
          <w:b/>
        </w:rPr>
        <w:t>板块TOP10总览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板块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买点总数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梯队完整度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评级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残缺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完整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强主线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残缺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○ 次主线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残缺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○ 次主线</w:t>
            </w:r>
          </w:p>
        </w:tc>
      </w:tr>
    </w:tbl>
    <w:p/>
    <w:p>
      <w:r/>
      <w:r>
        <w:rPr>
          <w:b/>
        </w:rPr>
        <w:t>重点板块深度分析</w:t>
      </w:r>
      <w:r>
        <w:t>：</w:t>
      </w:r>
    </w:p>
    <w:p>
      <w:pPr>
        <w:pStyle w:val="Heading3"/>
      </w:pPr>
      <w:r>
        <w:t>2.1 自动化/制造 — 最强主线，7只买点个股</w:t>
      </w:r>
    </w:p>
    <w:p>
      <w:r>
        <w:t>该板块560只成分股，上涨293只/下跌260只，上涨趋势7%，B3龙头6只。梯队完整（B3龙头+B1后备），行情可持续。</w:t>
      </w:r>
    </w:p>
    <w:p>
      <w:r/>
      <w:r>
        <w:rPr>
          <w:b/>
        </w:rPr>
        <w:t>该板块全部买点个股(7只)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南华仪器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天鹅股份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研奥股份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泰瑞机器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赛象科技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底部反转，左侧机会</w:t>
            </w:r>
          </w:p>
        </w:tc>
      </w:tr>
    </w:tbl>
    <w:p/>
    <w:p>
      <w:r>
        <w:t>梯队结构：B3龙头6只（南华仪器、振华重工等）+ B1后备1只（宝馨科技），梯队完整。板块内个股普遍处于突破中枢后的回踩确认阶段，主升浪特征明显。</w:t>
      </w:r>
    </w:p>
    <w:p>
      <w:pPr>
        <w:pStyle w:val="Heading3"/>
      </w:pPr>
      <w:r>
        <w:t>2.2 化工 — 8只买点，B3集中爆发</w:t>
      </w:r>
    </w:p>
    <w:p>
      <w:r/>
      <w:r>
        <w:rPr>
          <w:b/>
        </w:rPr>
        <w:t>该板块全部买点个股(8只)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洪汇新材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科思股份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底部反转，左侧机会</w:t>
            </w:r>
          </w:p>
        </w:tc>
      </w:tr>
    </w:tbl>
    <w:p/>
    <w:p>
      <w:r>
        <w:t>化工板块是今日价值风格的代表，7只B3个股评分普遍较高。莱茵生物（评分+0.60）是板块内结构最清晰的标的，但需注意其同时出现了S1卖点信号（详见持仓评估）。</w:t>
      </w:r>
    </w:p>
    <w:p>
      <w:pPr>
        <w:pStyle w:val="Heading3"/>
      </w:pPr>
      <w:r>
        <w:t>2.3 电子 — 8只买点，B3+B2+B1全梯队</w:t>
      </w:r>
    </w:p>
    <w:p>
      <w:r/>
      <w:r>
        <w:rPr>
          <w:b/>
        </w:rPr>
        <w:t>该板块全部买点个股(8只)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301213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观想科技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71.48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920357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雅葆轩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300397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天和防务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920526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凯华材料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回踩不破前低，最安全买点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底部反转，左侧机会</w:t>
            </w:r>
          </w:p>
        </w:tc>
      </w:tr>
    </w:tbl>
    <w:p/>
    <w:p>
      <w:r>
        <w:t>电子板块梯队最为完整：B3龙头6只、B2中军1只（凯华材料）、B1后备1只，是典型的健康结构。天奥电子（评分+0.45）表现抗跌，是板块内优选标的。</w:t>
      </w:r>
    </w:p>
    <w:p>
      <w:pPr>
        <w:pStyle w:val="Heading2"/>
      </w:pPr>
      <w:r>
        <w:t>三、涨停板归因: 资金行为与缠论结构</w:t>
      </w:r>
    </w:p>
    <w:p>
      <w:r>
        <w:t>今日涨停107家，主导模式为“未分类”（52/107，49%），说明市场情绪虽在冰点，但涨停家数并未萎缩，资金仍在积极寻找突破口。59/107涨停前均线多头排列，技术共振增强涨停可靠性。</w:t>
      </w:r>
    </w:p>
    <w:p>
      <w:r/>
      <w:r>
        <w:rPr>
          <w:b/>
        </w:rPr>
        <w:t>涨停归因分类表</w:t>
      </w:r>
      <w:r>
        <w:t>（各类型精选代表）：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归因类型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涨停前结构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缠论解读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宁波东力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方正电机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达实智能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隆华科技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维康药业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中视传媒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尚纬股份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傲农生物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金石资源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有友食品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慧智微-U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倍量突破中枢上沿，B3买点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江化微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均线多头排列，B3买点确认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光莆股份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均线多头排列，B3买点确认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晶丰明源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均线多头排列，放量加速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巍华新材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底分型+量在价先，B1买点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滨化股份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底分型+量在价先，B1买点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西安奕材-U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底分型+量在价先，B1买点</w:t>
            </w:r>
          </w:p>
        </w:tc>
      </w:tr>
    </w:tbl>
    <w:p/>
    <w:p>
      <w:r/>
      <w:r>
        <w:rPr>
          <w:b/>
        </w:rPr>
        <w:t>共性特征</w:t>
      </w:r>
      <w:r>
        <w:t>：盘整突破板（倍量启动）是今日最主要的涨停模式（占比约30%），其次是趋势加速板（均线多头排列）和笔耗尽反转板（底分型+量在价先）。这三种模式分别对应缠论的三买、趋势延续和一买，说明资金行为高度符合缠论结构。</w:t>
      </w:r>
    </w:p>
    <w:p>
      <w:pPr>
        <w:pStyle w:val="Heading2"/>
      </w:pPr>
      <w:r>
        <w:t>四、机会挖掘: 重点个股深度分析</w:t>
      </w:r>
    </w:p>
    <w:p>
      <w:r>
        <w:t>全市场共发现79只买点信号（B1:14只, B3:64只），下表精选10只结构最清晰的。</w:t>
      </w:r>
    </w:p>
    <w:p>
      <w:r/>
      <w:r>
        <w:rPr>
          <w:b/>
        </w:rPr>
        <w:t>买点机会汇总表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B1一买底部反转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下跌趋势末端底背驰，左侧抄底(第21课)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B3三买趋势加速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突破中枢上沿回踩确认，主升浪起点(第54课)</w:t>
            </w:r>
          </w:p>
        </w:tc>
      </w:tr>
    </w:tbl>
    <w:p/>
    <w:p>
      <w:r/>
      <w:r>
        <w:rPr>
          <w:b/>
        </w:rPr>
        <w:t>B1一买底部反转 — 共14只，前10只明细表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止损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3.47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5.99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9.51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2.21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23.47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18.41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920790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联迪信息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23.85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23.58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27.23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002105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信隆健康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6.61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6.15</w:t>
            </w:r>
          </w:p>
        </w:tc>
      </w:tr>
    </w:tbl>
    <w:p/>
    <w:p>
      <w:r>
        <w:t>全部14只代码：000710, 002514, 300212, 600610, 688496, 920242, 920627, 920790, 600171, 002105, 002286, 920533, 920971, 920418</w:t>
      </w:r>
    </w:p>
    <w:p>
      <w:r/>
      <w:r>
        <w:rPr>
          <w:b/>
        </w:rPr>
        <w:t>B3三买趋势加速 — 共64只，前10只明细表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止损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11.61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5.28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+0.60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8.17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5.78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72.60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+0.45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19.23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6.87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300170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汉得信息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20.33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33.64</w:t>
            </w:r>
          </w:p>
        </w:tc>
      </w:tr>
    </w:tbl>
    <w:p/>
    <w:p>
      <w:r>
        <w:t>全部64只代码：001338, 002108, 002166, 002453, 002460, 002935, 300040, 300170, 300586, 300657, 300664, 300788, 301051, 301130, 301381, 600100, 600276, 600790, 601789, 603519, 603665, 603709, 603889, 688047, 300235, 300913, 600512, 300519, 301213, 002479, 920357, 603289, 301278, 002802, 601998, 300675, 001317, 600153, 300923, 603506, 300249, 600320, 300458, 001289, 600149, 600956, 600030, 300417, 000034, 300856, 002303, 002337, 688428, 301156, 300397, 603307, 000428, 603029, 600845, 301012, 600493, 003003, 301177, 300531</w:t>
      </w:r>
    </w:p>
    <w:p>
      <w:pPr>
        <w:pStyle w:val="Heading3"/>
      </w:pPr>
      <w:r>
        <w:t>重点个股深度分析：002935 天奥电子</w:t>
      </w:r>
    </w:p>
    <w:p>
      <w:r>
        <w:t>[K线图: charts/002935_Kline_MACD.png]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002935 天奥电子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电子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20.68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上涨趋势，中枢上方，笔→/线段→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B3三买（第54课：突破中枢上沿后回踩确认）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无背驰信号，属于趋势加速型买点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量比1.0x（正常），今日+0.4%抗跌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均线多头排列，短均线在长均线之上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止损19.23，若回踩不破20元整数关口可加仓，仓位10%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均线破位风险（已预警S2卖点，置信50%）</w:t>
            </w:r>
          </w:p>
        </w:tc>
      </w:tr>
    </w:tbl>
    <w:p/>
    <w:p>
      <w:r>
        <w:t>天奥电子今日收盘20.68元，在指数大跌1%的背景下仅微跌0.4%，表现出极强的抗跌性。从缠论结构看，该股已完成“突破中枢上沿→回踩确认”的标准B3三买流程。第54课《一个具体走势的分析》明确指出：三买标志中枢被有效突破，价格进入新的上涨阶段。当前均线多头排列，量能温和，是典型的主升浪启动形态。但需注意系统已标记S2卖点预警（置信50%），若后续反弹无力突破前高，则需警惕二卖风险。</w:t>
      </w:r>
    </w:p>
    <w:p>
      <w:pPr>
        <w:pStyle w:val="Heading3"/>
      </w:pPr>
      <w:r>
        <w:t>重点个股深度分析：300531 优博讯</w:t>
      </w:r>
    </w:p>
    <w:p>
      <w:r>
        <w:t>[K线图: charts/300531_Kline_MACD.png]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300531 优博讯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通信/计算机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20.26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上涨趋势，中枢上方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B3三买（段级，置信60%）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无背驰信号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今日-0.9%，缩量回调，健康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均线多头排列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止损18.84，回踩20元附近可介入，仓位10%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无明显风险信号</w:t>
            </w:r>
          </w:p>
        </w:tc>
      </w:tr>
    </w:tbl>
    <w:p/>
    <w:p>
      <w:r>
        <w:t>优博讯是今日系统选股评分最高的标的之一（评分1.948），属于通信/计算机板块的B3买点。该板块共有4只B3个股，梯队完整。优博讯今日缩量回调，是典型的B3买点确认后的正常回踩，符合第54课“次级别回踩不跌回中枢”的标准。</w:t>
      </w:r>
    </w:p>
    <w:p>
      <w:pPr>
        <w:pStyle w:val="Heading2"/>
      </w:pPr>
      <w:r>
        <w:t>五、风险预警: 需要回避的方向</w:t>
      </w:r>
    </w:p>
    <w:p>
      <w:r>
        <w:t>当前市场虽为牛市格局，但冰点情绪下风险信号不容忽视。均线破位个股高达2288只，占全市场近44%，说明大部分个股处于弱势状态。</w:t>
      </w:r>
    </w:p>
    <w:p>
      <w:r/>
      <w:r>
        <w:rPr>
          <w:b/>
        </w:rPr>
        <w:t>风险信号统计表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多级别确认卖点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上涨趋势末端，笔线段双级别共振卖点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一卖顶部反转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上涨趋势+中枢上方，顶背驰确认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三卖趋势破位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跌破中枢下沿，反抽不涨回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均线破位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2288只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股价跌破关键均线支撑（≥2条）</w:t>
            </w:r>
          </w:p>
        </w:tc>
      </w:tr>
    </w:tbl>
    <w:p/>
    <w:p>
      <w:r/>
      <w:r>
        <w:rPr>
          <w:b/>
        </w:rPr>
        <w:t>多级别确认卖点 — 共63只，前10只明细表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>
        <w:t>全部63只代码：000591, 000809, 002213, 002443, 300480, 300651, 300836, 300870, 301016, 301092, 301196, 301361, 301499, 600163, 600855, 603078, 603095, 603356, 603950, 603958, 688048, 688337, 688535, 600301, 300024, 300278, 301413, 688015, 688522, 688728, 688716, 605555, 002775, 600917, 688396, 688616, 002355, 603667, 688298, 600589, 301503, 603227, 002584, 300066, 301022, 300710, 600563, 000792, 001208, 002033, 002400, 002836, 300206, 300418, 300606, 301181, 301266, 301588, 600337, 603183, 603196, 603637, 688237</w:t>
      </w:r>
    </w:p>
    <w:p>
      <w:r/>
      <w:r>
        <w:rPr>
          <w:b/>
        </w:rPr>
        <w:t>重点风险提示</w:t>
      </w:r>
      <w:r>
        <w:t>：000591 太阳能（电力设备）今日虽涨3.1%，但S1一卖信号置信度高达90%，属于典型的“顶背驰（价格创新高但MACD柱面积缩小）后诱多”，第24课明确指出这种结构是逃顶信号。持有该股的投资者应高度警惕，死叉确认时果断离场。</w:t>
      </w:r>
    </w:p>
    <w:p>
      <w:pPr>
        <w:pStyle w:val="Heading2"/>
      </w:pPr>
      <w:r>
        <w:t>六、持仓评估与操作计划</w:t>
      </w:r>
    </w:p>
    <w:p>
      <w:r>
        <w:t>当前持仓2只，总市值119,498元，浮动亏损-31,872元（-21.2%），仓位约80%。</w:t>
      </w:r>
    </w:p>
    <w:p>
      <w:r/>
      <w:r>
        <w:rPr>
          <w:b/>
        </w:rPr>
        <w:t>持仓汇总表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持仓(股)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成本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市值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盈亏%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风险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建议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9,100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79,898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⚠ 卖出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600620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天宸股份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7,500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5.28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39,600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-45.3%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关注</w:t>
            </w:r>
          </w:p>
        </w:tc>
      </w:tr>
    </w:tbl>
    <w:p/>
    <w:p>
      <w:r/>
      <w:r>
        <w:rPr>
          <w:b/>
        </w:rPr>
        <w:t>002166 莱茵生物 深度分析</w:t>
      </w:r>
      <w:r>
        <w:t>：</w:t>
      </w:r>
    </w:p>
    <w:p>
      <w:r>
        <w:t>该股今日收盘8.78元，微涨0.2%，持仓市值79,898元，浮动盈利+1.2%。从缠论结构看，该股处于上涨趋势、中枢上方，B3买点已确认。但系统同时标记了S1卖点预警，这是一个非常重要的矛盾信号。</w:t>
      </w:r>
    </w:p>
    <w:p>
      <w:r>
        <w:t>根据第21课《买卖点分析的完备性》，B3三买和S1一卖不可能同时成立——B3确认的是中枢突破后的主升浪，S1要求的是上涨趋势末端的顶背驰。当前S1置信度较低（&lt;50%），且无背驰信号，因此S1卖点可能为误报。但作为风控纪律，我们仍需警惕：若明日跌破止损位8.17元，应无条件减仓。</w:t>
      </w:r>
    </w:p>
    <w:p>
      <w:r>
        <w:t>操作计划：继续持有，止损上移至8.17元。若放量突破9元整数关口，可加仓至15%仓位。</w:t>
      </w:r>
    </w:p>
    <w:p>
      <w:r/>
      <w:r>
        <w:rPr>
          <w:b/>
        </w:rPr>
        <w:t>600620 天宸股份 深度分析</w:t>
      </w:r>
      <w:r>
        <w:t>：</w:t>
      </w:r>
    </w:p>
    <w:p>
      <w:r>
        <w:t>该股今日收盘5.28元，下跌0.9%，持仓市值39,600元，浮动亏损-45.3%。从缠论结构看，该股处于盘整、中枢下方，无买点信号。均线已跌破MA5/MA10/MA20/MA60，属于典型的“均线破位”风险信号（2288只之一）。</w:t>
      </w:r>
    </w:p>
    <w:p>
      <w:r>
        <w:t>操作计划：当前亏损幅度较大，不建议盲目割肉。但需设定严格止损：若跌破4.91元（前低），必须无条件清仓。若反弹至5.8元附近（MA20压力位），减半仓。</w:t>
      </w:r>
    </w:p>
    <w:p>
      <w:r/>
      <w:r>
        <w:rPr>
          <w:b/>
        </w:rPr>
        <w:t>整体持仓评估</w:t>
      </w:r>
      <w:r>
        <w:t>：当前仓位80%偏重，且天宸股份深度套牢。建议明日逢高减仓莱茵生物（若未触发止损），将总仓位降至5成以下，以应对冰点情绪下的不确定性。</w:t>
      </w:r>
    </w:p>
    <w:p>
      <w:pPr>
        <w:pStyle w:val="Heading2"/>
      </w:pPr>
      <w:r>
        <w:t>七、复盘反思</w:t>
      </w:r>
    </w:p>
    <w:p>
      <w:r>
        <w:t>今日大盘冰点情绪下，涨停家数仍达107家，说明结构性机会依然充沛。但系统准确率数据显示，方向预测准确率仅0%（0/79），远低于50%随机基准，这是一个需要高度重视的信号。</w:t>
      </w:r>
    </w:p>
    <w:p>
      <w:r/>
      <w:r>
        <w:rPr>
          <w:b/>
        </w:rPr>
        <w:t>反思要点</w:t>
      </w:r>
      <w:r>
        <w:t>：</w:t>
      </w:r>
    </w:p>
    <w:p>
      <w:r>
        <w:t xml:space="preserve">1. </w:t>
      </w:r>
      <w:r>
        <w:rPr>
          <w:b/>
        </w:rPr>
        <w:t>预测与操作的分离</w:t>
      </w:r>
      <w:r>
        <w:t>：缠论第89课《中阴阶段的具体分析》强调“看不懂的就不做”。当前市场处于冰点中阴阶段，方向不明，应减少左侧预测，增加右侧确认。系统建议收紧买入阈值（0.06→0.1），正是对此的响应。</w:t>
      </w:r>
    </w:p>
    <w:p>
      <w:r>
        <w:t xml:space="preserve">2. </w:t>
      </w:r>
      <w:r>
        <w:rPr>
          <w:b/>
        </w:rPr>
        <w:t>持仓结构问题</w:t>
      </w:r>
      <w:r>
        <w:t>：天宸股份亏损45%，严重拖累整体收益。这提醒我们：止损纪律必须严格执行，亏损超过20%的标的应果断斩仓，而非被动等待。</w:t>
      </w:r>
    </w:p>
    <w:p>
      <w:r>
        <w:t xml:space="preserve">3. </w:t>
      </w:r>
      <w:r>
        <w:rPr>
          <w:b/>
        </w:rPr>
        <w:t>主线聚焦不足</w:t>
      </w:r>
      <w:r>
        <w:t>：全市场79只买点信号中，自动化/制造、化工、电子三大板块占23只（29%），但持仓中仅莱茵生物（化工）一只符合主线。后续应加大对主线板块的配置，减少边缘个股。</w:t>
      </w:r>
    </w:p>
    <w:p>
      <w:r>
        <w:t xml:space="preserve">4. </w:t>
      </w:r>
      <w:r>
        <w:rPr>
          <w:b/>
        </w:rPr>
        <w:t>卖点识别滞后</w:t>
      </w:r>
      <w:r>
        <w:t>：莱茵生物的S1卖点预警已出现，虽然置信度不高，但风控意识不能放松。第21课指出“任何买点都对应着某级别的卖点”，B3买点之后必然会有S1卖点，关键是在卖点确认时果断离场。</w:t>
      </w:r>
    </w:p>
    <w:p>
      <w:pPr>
        <w:pStyle w:val="Heading2"/>
      </w:pPr>
      <w:r>
        <w:t>八、附: 缠论三类买卖点完全图解</w:t>
      </w:r>
    </w:p>
    <w:p>
      <w:pPr>
        <w:pStyle w:val="Heading3"/>
      </w:pPr>
      <w:r>
        <w:t>附1: 第一类买点 (一买/B1) — 底背驰终结下跌趋势</w:t>
      </w:r>
    </w:p>
    <w:p>
      <w:pPr>
        <w:pStyle w:val="ListBullet"/>
      </w:pPr>
      <w:r>
        <w:t>第21课: 下跌趋势末端出现底背驰, 空头力竭</w:t>
      </w:r>
    </w:p>
    <w:p>
      <w:pPr>
        <w:pStyle w:val="ListBullet"/>
      </w:pPr>
      <w:r>
        <w:t>第24课: MACD柱面积明显缩小, 黄白线未同步新低</w:t>
      </w:r>
    </w:p>
    <w:p>
      <w:pPr>
        <w:pStyle w:val="ListBullet"/>
      </w:pPr>
      <w:r>
        <w:t>K线+MACD图解(每根蜡烛=上影+实体+影线, yang=|+|, yin=|#|):</w:t>
      </w:r>
    </w:p>
    <w:p>
      <w:pPr/>
      <w:r>
        <w:rPr>
          <w:rFonts w:ascii="Courier New" w:hAnsi="Courier New"/>
          <w:sz w:val="14"/>
        </w:rPr>
        <w:t xml:space="preserve">  K线(每根3行:影线/实体/影线)         MACD柱面积</w:t>
        <w:br/>
        <w:t xml:space="preserve">  ^                                   ^</w:t>
        <w:br/>
        <w:t xml:space="preserve">  | | &lt;-上影                           |</w:t>
        <w:br/>
        <w:t xml:space="preserve">  |#| &lt;-阴体(收&lt;开)                    |  #####  &lt;-前段下跌, MACD柱面积大</w:t>
        <w:br/>
        <w:t xml:space="preserve">  | | &lt;-下影                           |  #####</w:t>
        <w:br/>
        <w:t xml:space="preserve">  |+| &lt;-阳体(收&gt;开)                    |  #####</w:t>
        <w:br/>
        <w:t xml:space="preserve">  |#|                                  |  ####</w:t>
        <w:br/>
        <w:t xml:space="preserve">  | | &lt;-价格新低                       |  ###</w:t>
        <w:br/>
        <w:t xml:space="preserve">  |#| &lt;-阴体                           |  ##    &lt;-后段, MACD柱面积明显缩小</w:t>
        <w:br/>
        <w:t xml:space="preserve">  |+| &lt;-阳体(转势)                     |  ##</w:t>
        <w:br/>
        <w:t xml:space="preserve">  |+|                                  |  #</w:t>
        <w:br/>
        <w:t xml:space="preserve">  +---*B1(底背驰终结)----------&gt;       +----------------------&gt;</w:t>
        <w:br/>
        <w:t xml:space="preserve">    K线创新低, 但MACD柱面积从大缩小      价格新低+MACD未同步=底背驰(第24课)</w:t>
      </w:r>
    </w:p>
    <w:p>
      <w:pPr>
        <w:pStyle w:val="ListBullet"/>
      </w:pPr>
      <w:r>
        <w:t>背驰判定: 价格创近期新低, 但对应段MACD柱面积比前一段明显缩小, 黄白线也未同步新低</w:t>
      </w:r>
    </w:p>
    <w:p>
      <w:pPr>
        <w:pStyle w:val="ListBullet"/>
      </w:pPr>
      <w:r>
        <w:t>操作: MACD金叉确认后买入, 止损设在前低下方2-3%</w:t>
      </w:r>
    </w:p>
    <w:p>
      <w:pPr>
        <w:pStyle w:val="Heading3"/>
      </w:pPr>
      <w:r>
        <w:t>附2: 第二类买点 (二买/B2) — 回踩不破一买低点</w:t>
      </w:r>
    </w:p>
    <w:p>
      <w:pPr>
        <w:pStyle w:val="ListBullet"/>
      </w:pPr>
      <w:r>
        <w:t>第21/49课: 一买后次级别回踩, 不创新低, 最安全的买点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K线                                MACD</w:t>
        <w:br/>
        <w:t xml:space="preserve">  ^                                   ^</w:t>
        <w:br/>
        <w:t xml:space="preserve">  | |                                 |</w:t>
        <w:br/>
        <w:t xml:space="preserve">  |+|          | | &lt;-回踩段阴线        |  ####         ### &lt;-回踩MACD柱小</w:t>
        <w:br/>
        <w:t xml:space="preserve">  |+|   | |    |#|                    |  ######    ####</w:t>
        <w:br/>
        <w:t xml:space="preserve">  |+|   |+|    |#|                    |  ###########</w:t>
        <w:br/>
        <w:t xml:space="preserve">  |+|   |+|    |+| &lt;-止跌阳线         |  ###########</w:t>
        <w:br/>
        <w:t xml:space="preserve">  +-*B1--------*B2-----------&gt;        +----------------------&gt;</w:t>
        <w:br/>
        <w:t xml:space="preserve">    一买底背驰   回踩不破B1低点         回踩时MACD回落但不破0轴</w:t>
      </w:r>
    </w:p>
    <w:p>
      <w:pPr>
        <w:pStyle w:val="ListBullet"/>
      </w:pPr>
      <w:r>
        <w:t>判定: B1后回踩, 最低点高于B1低点, 成交量萎缩, MACD未破0轴</w:t>
      </w:r>
    </w:p>
    <w:p>
      <w:pPr>
        <w:pStyle w:val="ListBullet"/>
      </w:pPr>
      <w:r>
        <w:t>操作: 回踩止跌+MACD再次金叉时加仓, 止损在B1低点下方</w:t>
      </w:r>
    </w:p>
    <w:p>
      <w:pPr>
        <w:pStyle w:val="Heading3"/>
      </w:pPr>
      <w:r>
        <w:t>附3: 第三类买点 (三买/B3) — 突破中枢后回踩确认</w:t>
      </w:r>
    </w:p>
    <w:p>
      <w:pPr>
        <w:pStyle w:val="ListBullet"/>
      </w:pPr>
      <w:r>
        <w:t>第21/54课: 突破中枢上沿, 次级别回踩不跌回中枢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K线                                MACD</w:t>
        <w:br/>
        <w:t xml:space="preserve">  ^                                   ^</w:t>
        <w:br/>
        <w:t xml:space="preserve">  | |                        |+| &lt;-阳 |               #### &lt;-放量突破</w:t>
        <w:br/>
        <w:t xml:space="preserve">  |+|  +------------+  |#|   |+|     |            ####</w:t>
        <w:br/>
        <w:t xml:space="preserve">  |+|  |  中枢震荡   |  |#| &lt;-回踩  |         ####</w:t>
        <w:br/>
        <w:t xml:space="preserve">  |#|  | (多空平衡区) |  |+| &lt;-不破  |      ####</w:t>
        <w:br/>
        <w:t xml:space="preserve">  |+|  +------------+  |+|          |   ####</w:t>
        <w:br/>
        <w:t xml:space="preserve">  |+|          |+|     |+|           |####</w:t>
        <w:br/>
        <w:t xml:space="preserve">  +------------------------&gt;         +----------------------&gt;</w:t>
        <w:br/>
        <w:t xml:space="preserve">     突破上沿+回踩不破中枢=B3买点      突破时MACD站上0轴, 回踩不破0轴</w:t>
      </w:r>
    </w:p>
    <w:p>
      <w:pPr>
        <w:pStyle w:val="ListBullet"/>
      </w:pPr>
      <w:r>
        <w:t>判定: 价格突破中枢上沿, 次级别回踩不跌回中枢区间, 成交量放大配合</w:t>
      </w:r>
    </w:p>
    <w:p>
      <w:pPr>
        <w:pStyle w:val="ListBullet"/>
      </w:pPr>
      <w:r>
        <w:t>操作: 放量突破中枢上沿+回踩确认后介入, 止损在中枢上沿下方</w:t>
      </w:r>
    </w:p>
    <w:p>
      <w:pPr>
        <w:pStyle w:val="Heading3"/>
      </w:pPr>
      <w:r>
        <w:t>附4: 第一类卖点 (一卖/S1) — 顶背驰终结上涨趋势</w:t>
      </w:r>
    </w:p>
    <w:p>
      <w:pPr>
        <w:pStyle w:val="ListBullet"/>
      </w:pPr>
      <w:r>
        <w:t>第21课: 上涨趋势末端出现顶背驰, 多头力竭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K线                                MACD</w:t>
        <w:br/>
        <w:t xml:space="preserve">  ^                                   ^</w:t>
        <w:br/>
        <w:t xml:space="preserve">  |+| |+| |+| |+| |+| *S1(顶背驰)     |  ### &lt;-后段MACD柱面积明显缩小</w:t>
        <w:br/>
        <w:t xml:space="preserve">  |+| |+| |+| |+| |+|                |  ####</w:t>
        <w:br/>
        <w:t xml:space="preserve">  |+| |+| |+| |+| |+|                |  #####</w:t>
        <w:br/>
        <w:t xml:space="preserve">  |+| |+| |+| |+|                    |  ###### &lt;-前段MACD柱面积大</w:t>
        <w:br/>
        <w:t xml:space="preserve">  |+| |+| |+|                        |  ######</w:t>
        <w:br/>
        <w:t xml:space="preserve">  +------------------------&gt;          +----------------------&gt;</w:t>
        <w:br/>
        <w:t xml:space="preserve">    K线创新高, 但MACD柱面积缩小         价格新高+MACD未同步=顶背驰(第24课)</w:t>
      </w:r>
    </w:p>
    <w:p>
      <w:pPr>
        <w:pStyle w:val="ListBullet"/>
      </w:pPr>
      <w:r>
        <w:t>背驰判定: 价格创近期新高, 但对应段MACD柱面积比前一段明显缩小, 黄白线也未同步新高</w:t>
      </w:r>
    </w:p>
    <w:p>
      <w:pPr>
        <w:pStyle w:val="ListBullet"/>
      </w:pPr>
      <w:r>
        <w:t>操作: 顶背驰+MACD死叉时减仓或清仓</w:t>
      </w:r>
    </w:p>
    <w:p>
      <w:pPr>
        <w:pStyle w:val="Heading3"/>
      </w:pPr>
      <w:r>
        <w:t>附5: 第二类卖点 (二卖/S2) — 反弹不破一卖高点</w:t>
      </w:r>
    </w:p>
    <w:p>
      <w:pPr>
        <w:pStyle w:val="ListBullet"/>
      </w:pPr>
      <w:r>
        <w:t>第21课: 一卖后反弹, 不创新高, 反弹无力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K线                                MACD</w:t>
        <w:br/>
        <w:t xml:space="preserve">  ^                                   ^</w:t>
        <w:br/>
        <w:t xml:space="preserve">  |+| |+| *S1        *S2              |  ####             # &lt;-反弹无力</w:t>
        <w:br/>
        <w:t xml:space="preserve">  |+| |+| |+|  |+|   |+| &lt;-反弹无力   |  ######        ###</w:t>
        <w:br/>
        <w:t xml:space="preserve">  |+| |+| |+|  |+|   |#|             |  ########   ####</w:t>
        <w:br/>
        <w:t xml:space="preserve">  |+| |+| |+|  |+|   |+|             |  #############</w:t>
        <w:br/>
        <w:t xml:space="preserve">  +------------------------&gt;          +----------------------&gt;</w:t>
        <w:br/>
        <w:t xml:space="preserve">    一卖顶背驰   反弹不创新高           反弹时MACD无力回到前高水平</w:t>
      </w:r>
    </w:p>
    <w:p>
      <w:pPr>
        <w:pStyle w:val="ListBullet"/>
      </w:pPr>
      <w:r>
        <w:t>判定: S1后出现反弹, 但反弹高点低于S1高点, MACD无力回到0轴上方或前高水平</w:t>
      </w:r>
    </w:p>
    <w:p>
      <w:pPr>
        <w:pStyle w:val="ListBullet"/>
      </w:pPr>
      <w:r>
        <w:t>操作: 反弹无力+MACD再次死叉时清仓</w:t>
      </w:r>
    </w:p>
    <w:p>
      <w:pPr>
        <w:pStyle w:val="Heading3"/>
      </w:pPr>
      <w:r>
        <w:t>附6: 第三类卖点 (三卖/S3) — 跌破中枢后反抽不涨回</w:t>
      </w:r>
    </w:p>
    <w:p>
      <w:pPr>
        <w:pStyle w:val="ListBullet"/>
      </w:pPr>
      <w:r>
        <w:t>第21课: 跌破中枢下沿, 次级别反抽不涨回中枢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K线                                MACD</w:t>
        <w:br/>
        <w:t xml:space="preserve">  ^                                   ^</w:t>
        <w:br/>
        <w:t xml:space="preserve">  |+|  +------------+                 |      ####</w:t>
        <w:br/>
        <w:t xml:space="preserve">  |#|  |  中枢震荡   | |#| |#|        |   ####</w:t>
        <w:br/>
        <w:t xml:space="preserve">  |+|  | (多空平衡区) | |#| |#| *S3   | #### &lt;-跌破中枢, MACD下0轴</w:t>
        <w:br/>
        <w:t xml:space="preserve">  |#|  +------------+ |#| |#| |#|    |#######</w:t>
        <w:br/>
        <w:t xml:space="preserve">  |+|          |+|    |#| |#| |#|    |########</w:t>
        <w:br/>
        <w:t xml:space="preserve">  +------------------------&gt;          +----------------------&gt;</w:t>
        <w:br/>
        <w:t xml:space="preserve">     跌破下沿+反抽不涨回=S3卖点         MACD在0轴下方运行, 空头主导</w:t>
      </w:r>
    </w:p>
    <w:p>
      <w:pPr>
        <w:pStyle w:val="ListBullet"/>
      </w:pPr>
      <w:r>
        <w:t>判定: 价格跌破中枢下沿, 次级别反抽未能涨回中枢区间, MACD在0轴下方</w:t>
      </w:r>
    </w:p>
    <w:p>
      <w:pPr>
        <w:pStyle w:val="ListBullet"/>
      </w:pPr>
      <w:r>
        <w:t>操作: 跌破中枢下沿+反抽无力时清仓离场, 不要抄底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