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AE516">
      <w:pPr>
        <w:keepNext w:val="0"/>
        <w:keepLines w:val="0"/>
        <w:pageBreakBefore w:val="0"/>
        <w:widowControl w:val="0"/>
        <w:kinsoku/>
        <w:wordWrap/>
        <w:overflowPunct/>
        <w:topLinePunct w:val="0"/>
        <w:autoSpaceDE/>
        <w:autoSpaceDN/>
        <w:bidi w:val="0"/>
        <w:adjustRightInd/>
        <w:snapToGrid/>
        <w:spacing w:line="240" w:lineRule="auto"/>
        <w:ind w:left="0" w:leftChars="0" w:firstLine="643" w:firstLineChars="200"/>
        <w:jc w:val="center"/>
        <w:textAlignment w:val="auto"/>
        <w:rPr>
          <w:rFonts w:hint="default" w:ascii="Times New Roman" w:hAnsi="Times New Roman" w:eastAsia="宋体" w:cs="Times New Roman"/>
          <w:b/>
          <w:bCs/>
          <w:sz w:val="32"/>
          <w:szCs w:val="32"/>
        </w:rPr>
      </w:pPr>
      <w:r>
        <w:rPr>
          <w:rFonts w:hint="default" w:ascii="Times New Roman" w:hAnsi="Times New Roman" w:eastAsia="宋体" w:cs="Times New Roman"/>
          <w:b/>
          <w:bCs/>
          <w:sz w:val="32"/>
          <w:szCs w:val="32"/>
        </w:rPr>
        <w:t>Publishing Patterns and Title Themes in British Drama (1660–1900)</w:t>
      </w:r>
    </w:p>
    <w:p w14:paraId="7918955B">
      <w:pPr>
        <w:keepNext w:val="0"/>
        <w:keepLines w:val="0"/>
        <w:pageBreakBefore w:val="0"/>
        <w:widowControl w:val="0"/>
        <w:kinsoku/>
        <w:wordWrap/>
        <w:overflowPunct/>
        <w:topLinePunct w:val="0"/>
        <w:autoSpaceDE/>
        <w:autoSpaceDN/>
        <w:bidi w:val="0"/>
        <w:adjustRightInd/>
        <w:snapToGrid/>
        <w:spacing w:line="240" w:lineRule="auto"/>
        <w:ind w:left="0" w:leftChars="0" w:firstLine="482" w:firstLineChars="200"/>
        <w:jc w:val="center"/>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Xinran Liu (r 1069247)</w:t>
      </w:r>
    </w:p>
    <w:p w14:paraId="3C1B2F9B">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Jan 2, 2025</w:t>
      </w:r>
    </w:p>
    <w:p w14:paraId="701AE939">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1. Introduction</w:t>
      </w:r>
    </w:p>
    <w:p w14:paraId="46E34B2B">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The 16th to 19th centuries saw significant shifts in British society, shown also in the changes in the drama publishing industry. Based on the dramatic metadata dataset of the British library, this report examines these developments using quantitative analysis. </w:t>
      </w:r>
    </w:p>
    <w:p w14:paraId="6EFA2C72">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The analysis is divided into two main parts. Section 2 focuses on general publishing patterns,  while section 3 analyzes dramatic titles in greater detail. </w:t>
      </w:r>
    </w:p>
    <w:p w14:paraId="348B1633">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Python was used to process the data, involving further data wrangling, text analysis on title keywords, and initial data visualization. (Codes and methodology </w:t>
      </w:r>
      <w:bookmarkStart w:id="0" w:name="_GoBack"/>
      <w:bookmarkEnd w:id="0"/>
      <w:r>
        <w:rPr>
          <w:rFonts w:hint="default" w:ascii="Times New Roman" w:hAnsi="Times New Roman" w:eastAsia="宋体" w:cs="Times New Roman"/>
          <w:b w:val="0"/>
          <w:i w:val="0"/>
          <w:strike w:val="0"/>
          <w:color w:val="auto"/>
          <w:kern w:val="2"/>
          <w:sz w:val="24"/>
          <w:szCs w:val="24"/>
          <w:u w:val="none"/>
          <w:lang w:val="en-US" w:eastAsia="zh-CN" w:bidi="ar-SA"/>
        </w:rPr>
        <w:t xml:space="preserve">shown in Jupyter Notebook and GitHub). Tableau was then used to visualize the resulting data, </w:t>
      </w:r>
      <w:r>
        <w:rPr>
          <w:rFonts w:hint="eastAsia" w:ascii="Times New Roman" w:hAnsi="Times New Roman" w:eastAsia="宋体" w:cs="Times New Roman"/>
          <w:b w:val="0"/>
          <w:i w:val="0"/>
          <w:strike w:val="0"/>
          <w:color w:val="auto"/>
          <w:kern w:val="2"/>
          <w:sz w:val="24"/>
          <w:szCs w:val="24"/>
          <w:u w:val="none"/>
          <w:lang w:val="en-US" w:eastAsia="zh-CN" w:bidi="ar-SA"/>
        </w:rPr>
        <w:t xml:space="preserve">and results are displayed on this </w:t>
      </w:r>
      <w:r>
        <w:rPr>
          <w:rFonts w:hint="eastAsia" w:ascii="Times New Roman" w:hAnsi="Times New Roman" w:eastAsia="宋体" w:cs="Times New Roman"/>
          <w:b w:val="0"/>
          <w:i w:val="0"/>
          <w:strike w:val="0"/>
          <w:color w:val="auto"/>
          <w:kern w:val="2"/>
          <w:sz w:val="24"/>
          <w:szCs w:val="24"/>
          <w:u w:val="none"/>
          <w:lang w:val="en-US" w:eastAsia="zh-CN" w:bidi="ar-SA"/>
        </w:rPr>
        <w:fldChar w:fldCharType="begin"/>
      </w:r>
      <w:r>
        <w:rPr>
          <w:rFonts w:hint="eastAsia" w:ascii="Times New Roman" w:hAnsi="Times New Roman" w:eastAsia="宋体" w:cs="Times New Roman"/>
          <w:b w:val="0"/>
          <w:i w:val="0"/>
          <w:strike w:val="0"/>
          <w:color w:val="auto"/>
          <w:kern w:val="2"/>
          <w:sz w:val="24"/>
          <w:szCs w:val="24"/>
          <w:u w:val="none"/>
          <w:lang w:val="en-US" w:eastAsia="zh-CN" w:bidi="ar-SA"/>
        </w:rPr>
        <w:instrText xml:space="preserve"> HYPERLINK "https://public.tableau.com/authoring/BritishDramaMetadataAnalysis/DashboardXR" \l "1" </w:instrText>
      </w:r>
      <w:r>
        <w:rPr>
          <w:rFonts w:hint="eastAsia" w:ascii="Times New Roman" w:hAnsi="Times New Roman" w:eastAsia="宋体" w:cs="Times New Roman"/>
          <w:b w:val="0"/>
          <w:i w:val="0"/>
          <w:strike w:val="0"/>
          <w:color w:val="auto"/>
          <w:kern w:val="2"/>
          <w:sz w:val="24"/>
          <w:szCs w:val="24"/>
          <w:u w:val="none"/>
          <w:lang w:val="en-US" w:eastAsia="zh-CN" w:bidi="ar-SA"/>
        </w:rPr>
        <w:fldChar w:fldCharType="separate"/>
      </w:r>
      <w:r>
        <w:rPr>
          <w:rStyle w:val="12"/>
          <w:rFonts w:hint="eastAsia" w:ascii="Times New Roman" w:hAnsi="Times New Roman" w:eastAsia="宋体" w:cs="Times New Roman"/>
          <w:b w:val="0"/>
          <w:i w:val="0"/>
          <w:strike w:val="0"/>
          <w:kern w:val="2"/>
          <w:sz w:val="24"/>
          <w:szCs w:val="24"/>
          <w:lang w:val="en-US" w:eastAsia="zh-CN" w:bidi="ar-SA"/>
        </w:rPr>
        <w:t>dashboard</w:t>
      </w:r>
      <w:r>
        <w:rPr>
          <w:rFonts w:hint="eastAsia" w:ascii="Times New Roman" w:hAnsi="Times New Roman" w:eastAsia="宋体" w:cs="Times New Roman"/>
          <w:b w:val="0"/>
          <w:i w:val="0"/>
          <w:strike w:val="0"/>
          <w:color w:val="auto"/>
          <w:kern w:val="2"/>
          <w:sz w:val="24"/>
          <w:szCs w:val="24"/>
          <w:u w:val="none"/>
          <w:lang w:val="en-US" w:eastAsia="zh-CN" w:bidi="ar-SA"/>
        </w:rPr>
        <w:fldChar w:fldCharType="end"/>
      </w:r>
      <w:r>
        <w:rPr>
          <w:rFonts w:hint="default" w:ascii="Times New Roman" w:hAnsi="Times New Roman" w:eastAsia="宋体" w:cs="Times New Roman"/>
          <w:b w:val="0"/>
          <w:i w:val="0"/>
          <w:strike w:val="0"/>
          <w:color w:val="auto"/>
          <w:kern w:val="2"/>
          <w:sz w:val="24"/>
          <w:szCs w:val="24"/>
          <w:u w:val="none"/>
          <w:lang w:val="en-US" w:eastAsia="zh-CN" w:bidi="ar-SA"/>
        </w:rPr>
        <w:t>.</w:t>
      </w:r>
    </w:p>
    <w:p w14:paraId="44DD0492">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Descriptive analysis of the drama datasets</w:t>
      </w:r>
    </w:p>
    <w:p w14:paraId="45F2CE6E">
      <w:pPr>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firstLine="480" w:firstLineChars="200"/>
        <w:jc w:val="both"/>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val="0"/>
          <w:bCs/>
          <w:i w:val="0"/>
          <w:strike w:val="0"/>
          <w:color w:val="auto"/>
          <w:kern w:val="2"/>
          <w:sz w:val="24"/>
          <w:szCs w:val="24"/>
          <w:u w:val="none"/>
          <w:lang w:val="en-US" w:eastAsia="zh-CN" w:bidi="ar-SA"/>
        </w:rPr>
        <w:t>The part of analysis focuses on</w:t>
      </w:r>
      <w:r>
        <w:rPr>
          <w:rFonts w:hint="default" w:ascii="Times New Roman" w:hAnsi="Times New Roman" w:eastAsia="宋体" w:cs="Times New Roman"/>
          <w:b w:val="0"/>
          <w:i w:val="0"/>
          <w:strike w:val="0"/>
          <w:color w:val="auto"/>
          <w:kern w:val="2"/>
          <w:sz w:val="24"/>
          <w:szCs w:val="24"/>
          <w:u w:val="none"/>
          <w:lang w:val="en-US" w:eastAsia="zh-CN" w:bidi="ar-SA"/>
        </w:rPr>
        <w:t xml:space="preserve"> general publishing patterns, including</w:t>
      </w:r>
      <w:r>
        <w:rPr>
          <w:rFonts w:hint="default" w:ascii="Times New Roman" w:hAnsi="Times New Roman" w:eastAsia="宋体" w:cs="Times New Roman"/>
          <w:b w:val="0"/>
          <w:bCs/>
          <w:i w:val="0"/>
          <w:strike w:val="0"/>
          <w:color w:val="auto"/>
          <w:kern w:val="2"/>
          <w:sz w:val="24"/>
          <w:szCs w:val="24"/>
          <w:u w:val="none"/>
          <w:lang w:val="en-US" w:eastAsia="zh-CN" w:bidi="ar-SA"/>
        </w:rPr>
        <w:t xml:space="preserve"> </w:t>
      </w:r>
      <w:r>
        <w:rPr>
          <w:rFonts w:hint="default" w:ascii="Times New Roman" w:hAnsi="Times New Roman" w:eastAsia="宋体" w:cs="Times New Roman"/>
          <w:b w:val="0"/>
          <w:i w:val="0"/>
          <w:strike w:val="0"/>
          <w:color w:val="auto"/>
          <w:kern w:val="2"/>
          <w:sz w:val="24"/>
          <w:szCs w:val="24"/>
          <w:u w:val="none"/>
          <w:lang w:val="en-US" w:eastAsia="zh-CN" w:bidi="ar-SA"/>
        </w:rPr>
        <w:t>fluctuations in publication volume and genre, authorship trends, and the concentration of publishers.</w:t>
      </w:r>
    </w:p>
    <w:p w14:paraId="1A172CF0">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2.1. Publications Over Time</w:t>
      </w:r>
    </w:p>
    <w:p w14:paraId="27CC1B9E">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There are a total of 1615 publications in the cleaned drama datasets, 4 of them without publication year recorded, leaving 1611 rows of data being analyzed.</w:t>
      </w:r>
    </w:p>
    <w:p w14:paraId="591060BE">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Overview of publications over time</w:t>
      </w:r>
    </w:p>
    <w:p w14:paraId="7E8D0D12">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Looking at the timeline, there are two noticeable peaks, with a relatively quiet period in between. After a very slow beginning in the mid-17th century, publication </w:t>
      </w:r>
      <w:r>
        <w:rPr>
          <w:rFonts w:hint="default" w:ascii="Times New Roman" w:hAnsi="Times New Roman" w:eastAsia="宋体" w:cs="Times New Roman"/>
          <w:b/>
          <w:bCs/>
          <w:i w:val="0"/>
          <w:strike w:val="0"/>
          <w:color w:val="auto"/>
          <w:kern w:val="2"/>
          <w:sz w:val="24"/>
          <w:szCs w:val="24"/>
          <w:u w:val="none"/>
          <w:lang w:val="en-US" w:eastAsia="zh-CN" w:bidi="ar-SA"/>
        </w:rPr>
        <w:t>rises sharply</w:t>
      </w:r>
      <w:r>
        <w:rPr>
          <w:rFonts w:hint="default" w:ascii="Times New Roman" w:hAnsi="Times New Roman" w:eastAsia="宋体" w:cs="Times New Roman"/>
          <w:b w:val="0"/>
          <w:i w:val="0"/>
          <w:strike w:val="0"/>
          <w:color w:val="auto"/>
          <w:kern w:val="2"/>
          <w:sz w:val="24"/>
          <w:szCs w:val="24"/>
          <w:u w:val="none"/>
          <w:lang w:val="en-US" w:eastAsia="zh-CN" w:bidi="ar-SA"/>
        </w:rPr>
        <w:t xml:space="preserve"> in the 1690s, reaching 92 entries. This first boom is followed by a </w:t>
      </w:r>
      <w:r>
        <w:rPr>
          <w:rFonts w:hint="default" w:ascii="Times New Roman" w:hAnsi="Times New Roman" w:eastAsia="宋体" w:cs="Times New Roman"/>
          <w:b/>
          <w:bCs/>
          <w:i w:val="0"/>
          <w:strike w:val="0"/>
          <w:color w:val="auto"/>
          <w:kern w:val="2"/>
          <w:sz w:val="24"/>
          <w:szCs w:val="24"/>
          <w:u w:val="none"/>
          <w:lang w:val="en-US" w:eastAsia="zh-CN" w:bidi="ar-SA"/>
        </w:rPr>
        <w:t>decline</w:t>
      </w:r>
      <w:r>
        <w:rPr>
          <w:rFonts w:hint="default" w:ascii="Times New Roman" w:hAnsi="Times New Roman" w:eastAsia="宋体" w:cs="Times New Roman"/>
          <w:b w:val="0"/>
          <w:i w:val="0"/>
          <w:strike w:val="0"/>
          <w:color w:val="auto"/>
          <w:kern w:val="2"/>
          <w:sz w:val="24"/>
          <w:szCs w:val="24"/>
          <w:u w:val="none"/>
          <w:lang w:val="en-US" w:eastAsia="zh-CN" w:bidi="ar-SA"/>
        </w:rPr>
        <w:t xml:space="preserve"> across much of the 18th century. From the early 19th century onwards, however, the numbers </w:t>
      </w:r>
      <w:r>
        <w:rPr>
          <w:rFonts w:hint="default" w:ascii="Times New Roman" w:hAnsi="Times New Roman" w:eastAsia="宋体" w:cs="Times New Roman"/>
          <w:b/>
          <w:bCs/>
          <w:i w:val="0"/>
          <w:strike w:val="0"/>
          <w:color w:val="auto"/>
          <w:kern w:val="2"/>
          <w:sz w:val="24"/>
          <w:szCs w:val="24"/>
          <w:u w:val="none"/>
          <w:lang w:val="en-US" w:eastAsia="zh-CN" w:bidi="ar-SA"/>
        </w:rPr>
        <w:t>increase again</w:t>
      </w:r>
      <w:r>
        <w:rPr>
          <w:rFonts w:hint="default" w:ascii="Times New Roman" w:hAnsi="Times New Roman" w:eastAsia="宋体" w:cs="Times New Roman"/>
          <w:b w:val="0"/>
          <w:i w:val="0"/>
          <w:strike w:val="0"/>
          <w:color w:val="auto"/>
          <w:kern w:val="2"/>
          <w:sz w:val="24"/>
          <w:szCs w:val="24"/>
          <w:u w:val="none"/>
          <w:lang w:val="en-US" w:eastAsia="zh-CN" w:bidi="ar-SA"/>
        </w:rPr>
        <w:t xml:space="preserve"> and continue to grow steadily, eventually reaching a </w:t>
      </w:r>
      <w:r>
        <w:rPr>
          <w:rFonts w:hint="default" w:ascii="Times New Roman" w:hAnsi="Times New Roman" w:eastAsia="宋体" w:cs="Times New Roman"/>
          <w:b/>
          <w:bCs/>
          <w:i w:val="0"/>
          <w:strike w:val="0"/>
          <w:color w:val="auto"/>
          <w:kern w:val="2"/>
          <w:sz w:val="24"/>
          <w:szCs w:val="24"/>
          <w:u w:val="none"/>
          <w:lang w:val="en-US" w:eastAsia="zh-CN" w:bidi="ar-SA"/>
        </w:rPr>
        <w:t xml:space="preserve">high point </w:t>
      </w:r>
      <w:r>
        <w:rPr>
          <w:rFonts w:hint="default" w:ascii="Times New Roman" w:hAnsi="Times New Roman" w:eastAsia="宋体" w:cs="Times New Roman"/>
          <w:b w:val="0"/>
          <w:i w:val="0"/>
          <w:strike w:val="0"/>
          <w:color w:val="auto"/>
          <w:kern w:val="2"/>
          <w:sz w:val="24"/>
          <w:szCs w:val="24"/>
          <w:u w:val="none"/>
          <w:lang w:val="en-US" w:eastAsia="zh-CN" w:bidi="ar-SA"/>
        </w:rPr>
        <w:t xml:space="preserve">in the 1890s with around 200 publications. </w:t>
      </w:r>
    </w:p>
    <w:p w14:paraId="0BFADAE0">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anchor distT="0" distB="0" distL="114300" distR="114300" simplePos="0" relativeHeight="251659264" behindDoc="0" locked="0" layoutInCell="1" allowOverlap="1">
            <wp:simplePos x="0" y="0"/>
            <wp:positionH relativeFrom="column">
              <wp:posOffset>319405</wp:posOffset>
            </wp:positionH>
            <wp:positionV relativeFrom="paragraph">
              <wp:posOffset>149860</wp:posOffset>
            </wp:positionV>
            <wp:extent cx="4073525" cy="2080895"/>
            <wp:effectExtent l="0" t="0" r="3175" b="5080"/>
            <wp:wrapSquare wrapText="bothSides"/>
            <wp:docPr id="3" name="图片 3" descr="1.1Numbers of Dramas Published by Decade 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1Numbers of Dramas Published by Decade V1"/>
                    <pic:cNvPicPr>
                      <a:picLocks noChangeAspect="1"/>
                    </pic:cNvPicPr>
                  </pic:nvPicPr>
                  <pic:blipFill>
                    <a:blip r:embed="rId7"/>
                    <a:srcRect l="-964" t="6909" r="5525" b="6890"/>
                    <a:stretch>
                      <a:fillRect/>
                    </a:stretch>
                  </pic:blipFill>
                  <pic:spPr>
                    <a:xfrm>
                      <a:off x="0" y="0"/>
                      <a:ext cx="4073525" cy="2080895"/>
                    </a:xfrm>
                    <a:prstGeom prst="rect">
                      <a:avLst/>
                    </a:prstGeom>
                  </pic:spPr>
                </pic:pic>
              </a:graphicData>
            </a:graphic>
          </wp:anchor>
        </w:drawing>
      </w:r>
    </w:p>
    <w:p w14:paraId="0FFDA0C7">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4FD4C608">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17BB1C57">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363CAF1E">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7D9EFC34">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1C71F5DE">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1390B3EF">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238CF8FA">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7E55A4C9">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3663725D">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3F591032">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p>
    <w:p w14:paraId="7B7545A6">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Figure 1. Numbers of Dramas Published by Decade (comedy, play, tragedy and all combined)</w:t>
      </w:r>
    </w:p>
    <w:p w14:paraId="52A56FC4">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Difference among the three sub-types</w:t>
      </w:r>
    </w:p>
    <w:p w14:paraId="507EC384">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A similar change can be seen when looking at the types of drama. In terms of overall numbers, the three main categories are relatively close: Play appears most frequently (636), followed by Comedy (525) and Tragedy (450). What differs much more clearly is their distribution over time. In the late 17th century, </w:t>
      </w:r>
      <w:r>
        <w:rPr>
          <w:rFonts w:hint="default" w:ascii="Times New Roman" w:hAnsi="Times New Roman" w:eastAsia="宋体" w:cs="Times New Roman"/>
          <w:b/>
          <w:bCs/>
          <w:i w:val="0"/>
          <w:strike w:val="0"/>
          <w:color w:val="auto"/>
          <w:kern w:val="2"/>
          <w:sz w:val="24"/>
          <w:szCs w:val="24"/>
          <w:u w:val="none"/>
          <w:lang w:val="en-US" w:eastAsia="zh-CN" w:bidi="ar-SA"/>
        </w:rPr>
        <w:t xml:space="preserve">Comedy </w:t>
      </w:r>
      <w:r>
        <w:rPr>
          <w:rFonts w:hint="default" w:ascii="Times New Roman" w:hAnsi="Times New Roman" w:eastAsia="宋体" w:cs="Times New Roman"/>
          <w:b w:val="0"/>
          <w:i w:val="0"/>
          <w:strike w:val="0"/>
          <w:color w:val="auto"/>
          <w:kern w:val="2"/>
          <w:sz w:val="24"/>
          <w:szCs w:val="24"/>
          <w:u w:val="none"/>
          <w:lang w:val="en-US" w:eastAsia="zh-CN" w:bidi="ar-SA"/>
        </w:rPr>
        <w:t xml:space="preserve">dominates the market, often appearing at roughly twice the rate of the other genres. By the 19th century, however, the more general genre </w:t>
      </w:r>
      <w:r>
        <w:rPr>
          <w:rFonts w:hint="default" w:ascii="Times New Roman" w:hAnsi="Times New Roman" w:eastAsia="宋体" w:cs="Times New Roman"/>
          <w:b/>
          <w:bCs/>
          <w:i w:val="0"/>
          <w:strike w:val="0"/>
          <w:color w:val="auto"/>
          <w:kern w:val="2"/>
          <w:sz w:val="24"/>
          <w:szCs w:val="24"/>
          <w:u w:val="none"/>
          <w:lang w:val="en-US" w:eastAsia="zh-CN" w:bidi="ar-SA"/>
        </w:rPr>
        <w:t>Play</w:t>
      </w:r>
      <w:r>
        <w:rPr>
          <w:rFonts w:hint="default" w:ascii="Times New Roman" w:hAnsi="Times New Roman" w:eastAsia="宋体" w:cs="Times New Roman"/>
          <w:b w:val="0"/>
          <w:i w:val="0"/>
          <w:strike w:val="0"/>
          <w:color w:val="auto"/>
          <w:kern w:val="2"/>
          <w:sz w:val="24"/>
          <w:szCs w:val="24"/>
          <w:u w:val="none"/>
          <w:lang w:val="en-US" w:eastAsia="zh-CN" w:bidi="ar-SA"/>
        </w:rPr>
        <w:t xml:space="preserve"> becomes increasingly common. From the early 1800s onward, its numbers rise steadily, and by the 1890s it has become the leading category with 124 entries. Comedy, in contrast, declines in number, while </w:t>
      </w:r>
      <w:r>
        <w:rPr>
          <w:rFonts w:hint="default" w:ascii="Times New Roman" w:hAnsi="Times New Roman" w:eastAsia="宋体" w:cs="Times New Roman"/>
          <w:b/>
          <w:bCs/>
          <w:i w:val="0"/>
          <w:strike w:val="0"/>
          <w:color w:val="auto"/>
          <w:kern w:val="2"/>
          <w:sz w:val="24"/>
          <w:szCs w:val="24"/>
          <w:u w:val="none"/>
          <w:lang w:val="en-US" w:eastAsia="zh-CN" w:bidi="ar-SA"/>
        </w:rPr>
        <w:t>Tragedy</w:t>
      </w:r>
      <w:r>
        <w:rPr>
          <w:rFonts w:hint="default" w:ascii="Times New Roman" w:hAnsi="Times New Roman" w:eastAsia="宋体" w:cs="Times New Roman"/>
          <w:b w:val="0"/>
          <w:i w:val="0"/>
          <w:strike w:val="0"/>
          <w:color w:val="auto"/>
          <w:kern w:val="2"/>
          <w:sz w:val="24"/>
          <w:szCs w:val="24"/>
          <w:u w:val="none"/>
          <w:lang w:val="en-US" w:eastAsia="zh-CN" w:bidi="ar-SA"/>
        </w:rPr>
        <w:t xml:space="preserve"> retains a more stable middle position, never becoming dominant but not disappearing either.</w:t>
      </w:r>
    </w:p>
    <w:p w14:paraId="4D0CEFAC">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2.2 Authorship over time</w:t>
      </w:r>
    </w:p>
    <w:p w14:paraId="2FA48629">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The dataset contains a total of 1,611 records, </w:t>
      </w:r>
      <w:r>
        <w:rPr>
          <w:rFonts w:hint="default" w:ascii="Times New Roman" w:hAnsi="Times New Roman" w:eastAsia="宋体" w:cs="Times New Roman"/>
          <w:b/>
          <w:bCs/>
          <w:i w:val="0"/>
          <w:strike w:val="0"/>
          <w:color w:val="auto"/>
          <w:kern w:val="2"/>
          <w:sz w:val="24"/>
          <w:szCs w:val="24"/>
          <w:u w:val="none"/>
          <w:lang w:val="en-US" w:eastAsia="zh-CN" w:bidi="ar-SA"/>
        </w:rPr>
        <w:t xml:space="preserve">85.72% </w:t>
      </w:r>
      <w:r>
        <w:rPr>
          <w:rFonts w:hint="default" w:ascii="Times New Roman" w:hAnsi="Times New Roman" w:eastAsia="宋体" w:cs="Times New Roman"/>
          <w:b w:val="0"/>
          <w:i w:val="0"/>
          <w:strike w:val="0"/>
          <w:color w:val="auto"/>
          <w:kern w:val="2"/>
          <w:sz w:val="24"/>
          <w:szCs w:val="24"/>
          <w:u w:val="none"/>
          <w:lang w:val="en-US" w:eastAsia="zh-CN" w:bidi="ar-SA"/>
        </w:rPr>
        <w:t xml:space="preserve">of the entries (1,381 works) list an identified author, while the remaining </w:t>
      </w:r>
      <w:r>
        <w:rPr>
          <w:rFonts w:hint="default" w:ascii="Times New Roman" w:hAnsi="Times New Roman" w:eastAsia="宋体" w:cs="Times New Roman"/>
          <w:b/>
          <w:bCs/>
          <w:i w:val="0"/>
          <w:strike w:val="0"/>
          <w:color w:val="auto"/>
          <w:kern w:val="2"/>
          <w:sz w:val="24"/>
          <w:szCs w:val="24"/>
          <w:u w:val="none"/>
          <w:lang w:val="en-US" w:eastAsia="zh-CN" w:bidi="ar-SA"/>
        </w:rPr>
        <w:t>14.28%</w:t>
      </w:r>
      <w:r>
        <w:rPr>
          <w:rFonts w:hint="default" w:ascii="Times New Roman" w:hAnsi="Times New Roman" w:eastAsia="宋体" w:cs="Times New Roman"/>
          <w:b w:val="0"/>
          <w:i w:val="0"/>
          <w:strike w:val="0"/>
          <w:color w:val="auto"/>
          <w:kern w:val="2"/>
          <w:sz w:val="24"/>
          <w:szCs w:val="24"/>
          <w:u w:val="none"/>
          <w:lang w:val="en-US" w:eastAsia="zh-CN" w:bidi="ar-SA"/>
        </w:rPr>
        <w:t xml:space="preserve"> (230 works) are labeled as “Unknown.” This suggests that authorship information is generally well recorded in the dataset, although a small portion remains unclear.</w:t>
      </w:r>
    </w:p>
    <w:p w14:paraId="235071FD">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With </w:t>
      </w:r>
      <w:r>
        <w:rPr>
          <w:rFonts w:hint="default" w:ascii="Times New Roman" w:hAnsi="Times New Roman" w:eastAsia="宋体" w:cs="Times New Roman"/>
          <w:b/>
          <w:bCs/>
          <w:i w:val="0"/>
          <w:strike w:val="0"/>
          <w:color w:val="auto"/>
          <w:kern w:val="2"/>
          <w:sz w:val="24"/>
          <w:szCs w:val="24"/>
          <w:u w:val="none"/>
          <w:lang w:val="en-US" w:eastAsia="zh-CN" w:bidi="ar-SA"/>
        </w:rPr>
        <w:t>850</w:t>
      </w:r>
      <w:r>
        <w:rPr>
          <w:rFonts w:hint="default" w:ascii="Times New Roman" w:hAnsi="Times New Roman" w:eastAsia="宋体" w:cs="Times New Roman"/>
          <w:b w:val="0"/>
          <w:i w:val="0"/>
          <w:strike w:val="0"/>
          <w:color w:val="auto"/>
          <w:kern w:val="2"/>
          <w:sz w:val="24"/>
          <w:szCs w:val="24"/>
          <w:u w:val="none"/>
          <w:lang w:val="en-US" w:eastAsia="zh-CN" w:bidi="ar-SA"/>
        </w:rPr>
        <w:t xml:space="preserve"> unique individual authors in total, the “Top 10” bar chart shows that Richard Cumberland is the most productive author, with 24 published works,  followed by John Dryden with 21 publications, and Thomas Shadwell with 19. William Shakespeare also appears among the top authors with 14 works.</w:t>
      </w:r>
    </w:p>
    <w:p w14:paraId="63BEBD93">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inline distT="0" distB="0" distL="114300" distR="114300">
            <wp:extent cx="3714750" cy="2141220"/>
            <wp:effectExtent l="0" t="0" r="0" b="1905"/>
            <wp:docPr id="4" name="图片 4" descr="2.2 Top10A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Top10Aut"/>
                    <pic:cNvPicPr>
                      <a:picLocks noChangeAspect="1"/>
                    </pic:cNvPicPr>
                  </pic:nvPicPr>
                  <pic:blipFill>
                    <a:blip r:embed="rId8"/>
                    <a:srcRect l="1271" t="6643" r="-671" b="2711"/>
                    <a:stretch>
                      <a:fillRect/>
                    </a:stretch>
                  </pic:blipFill>
                  <pic:spPr>
                    <a:xfrm>
                      <a:off x="0" y="0"/>
                      <a:ext cx="3714750" cy="2141220"/>
                    </a:xfrm>
                    <a:prstGeom prst="rect">
                      <a:avLst/>
                    </a:prstGeom>
                  </pic:spPr>
                </pic:pic>
              </a:graphicData>
            </a:graphic>
          </wp:inline>
        </w:drawing>
      </w:r>
    </w:p>
    <w:p w14:paraId="1514BAEA">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Figure 2. Top 10 authors and number of publications</w:t>
      </w:r>
    </w:p>
    <w:p w14:paraId="12DD3282">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Unique authors over time</w:t>
      </w:r>
    </w:p>
    <w:p w14:paraId="0CF3F66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First, there is a </w:t>
      </w:r>
      <w:r>
        <w:rPr>
          <w:rFonts w:hint="default" w:ascii="Times New Roman" w:hAnsi="Times New Roman" w:eastAsia="宋体" w:cs="Times New Roman"/>
          <w:b/>
          <w:bCs/>
          <w:i w:val="0"/>
          <w:strike w:val="0"/>
          <w:color w:val="auto"/>
          <w:kern w:val="2"/>
          <w:sz w:val="24"/>
          <w:szCs w:val="24"/>
          <w:u w:val="none"/>
          <w:lang w:val="en-US" w:eastAsia="zh-CN" w:bidi="ar-SA"/>
        </w:rPr>
        <w:t>steady increase</w:t>
      </w:r>
      <w:r>
        <w:rPr>
          <w:rFonts w:hint="default" w:ascii="Times New Roman" w:hAnsi="Times New Roman" w:eastAsia="宋体" w:cs="Times New Roman"/>
          <w:b w:val="0"/>
          <w:i w:val="0"/>
          <w:strike w:val="0"/>
          <w:color w:val="auto"/>
          <w:kern w:val="2"/>
          <w:sz w:val="24"/>
          <w:szCs w:val="24"/>
          <w:u w:val="none"/>
          <w:lang w:val="en-US" w:eastAsia="zh-CN" w:bidi="ar-SA"/>
        </w:rPr>
        <w:t xml:space="preserve"> reaching a peak in the 1670s, with around 41 authors, followed by a </w:t>
      </w:r>
      <w:r>
        <w:rPr>
          <w:rFonts w:hint="default" w:ascii="Times New Roman" w:hAnsi="Times New Roman" w:eastAsia="宋体" w:cs="Times New Roman"/>
          <w:b/>
          <w:bCs/>
          <w:i w:val="0"/>
          <w:strike w:val="0"/>
          <w:color w:val="auto"/>
          <w:kern w:val="2"/>
          <w:sz w:val="24"/>
          <w:szCs w:val="24"/>
          <w:u w:val="none"/>
          <w:lang w:val="en-US" w:eastAsia="zh-CN" w:bidi="ar-SA"/>
        </w:rPr>
        <w:t>sharp decline</w:t>
      </w:r>
      <w:r>
        <w:rPr>
          <w:rFonts w:hint="default" w:ascii="Times New Roman" w:hAnsi="Times New Roman" w:eastAsia="宋体" w:cs="Times New Roman"/>
          <w:b w:val="0"/>
          <w:i w:val="0"/>
          <w:strike w:val="0"/>
          <w:color w:val="auto"/>
          <w:kern w:val="2"/>
          <w:sz w:val="24"/>
          <w:szCs w:val="24"/>
          <w:u w:val="none"/>
          <w:lang w:val="en-US" w:eastAsia="zh-CN" w:bidi="ar-SA"/>
        </w:rPr>
        <w:t xml:space="preserve"> throughout the 18th century, when the number drops to 6 authors in the 1720s. In the final stage, the trend changes again, and the number of unique authors </w:t>
      </w:r>
      <w:r>
        <w:rPr>
          <w:rFonts w:hint="default" w:ascii="Times New Roman" w:hAnsi="Times New Roman" w:eastAsia="宋体" w:cs="Times New Roman"/>
          <w:b/>
          <w:bCs/>
          <w:i w:val="0"/>
          <w:strike w:val="0"/>
          <w:color w:val="auto"/>
          <w:kern w:val="2"/>
          <w:sz w:val="24"/>
          <w:szCs w:val="24"/>
          <w:u w:val="none"/>
          <w:lang w:val="en-US" w:eastAsia="zh-CN" w:bidi="ar-SA"/>
        </w:rPr>
        <w:t>rises rapidly</w:t>
      </w:r>
      <w:r>
        <w:rPr>
          <w:rFonts w:hint="default" w:ascii="Times New Roman" w:hAnsi="Times New Roman" w:eastAsia="宋体" w:cs="Times New Roman"/>
          <w:b w:val="0"/>
          <w:i w:val="0"/>
          <w:strike w:val="0"/>
          <w:color w:val="auto"/>
          <w:kern w:val="2"/>
          <w:sz w:val="24"/>
          <w:szCs w:val="24"/>
          <w:u w:val="none"/>
          <w:lang w:val="en-US" w:eastAsia="zh-CN" w:bidi="ar-SA"/>
        </w:rPr>
        <w:t xml:space="preserve"> towards the end of the timeline, reaching its highest point in the 1890s with 171 authors.</w:t>
      </w:r>
    </w:p>
    <w:p w14:paraId="7F334F59">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These changes can be linked to broader historical contexts. The initial rise in the late 17th century corresponds to the Restoration period, when theatres reopened after 1660. In contrast, the decline during the mid-18th century may be related to the Licensing Act of 1737, which imposed strict controls on theatres and plays. Finally, the dramatic increase in the 1890s might reflect the impact of the Victorian era, driven more by developments in mass printing and publishing. </w:t>
      </w:r>
    </w:p>
    <w:p w14:paraId="45FFFB1C">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inline distT="0" distB="0" distL="114300" distR="114300">
            <wp:extent cx="2791460" cy="2020570"/>
            <wp:effectExtent l="0" t="0" r="8890" b="8255"/>
            <wp:docPr id="5" name="图片 5" descr="2.2UniqueAutOver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2UniqueAutOverTime"/>
                    <pic:cNvPicPr>
                      <a:picLocks noChangeAspect="1"/>
                    </pic:cNvPicPr>
                  </pic:nvPicPr>
                  <pic:blipFill>
                    <a:blip r:embed="rId9"/>
                    <a:srcRect l="-1424" t="9389" r="-676" b="5750"/>
                    <a:stretch>
                      <a:fillRect/>
                    </a:stretch>
                  </pic:blipFill>
                  <pic:spPr>
                    <a:xfrm>
                      <a:off x="0" y="0"/>
                      <a:ext cx="2791460" cy="2020570"/>
                    </a:xfrm>
                    <a:prstGeom prst="rect">
                      <a:avLst/>
                    </a:prstGeom>
                  </pic:spPr>
                </pic:pic>
              </a:graphicData>
            </a:graphic>
          </wp:inline>
        </w:drawing>
      </w:r>
    </w:p>
    <w:p w14:paraId="633FBBDE">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Figure 3. Unique authors over time</w:t>
      </w:r>
    </w:p>
    <w:p w14:paraId="4B6878A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textAlignment w:val="auto"/>
        <w:rPr>
          <w:rFonts w:hint="default" w:ascii="Times New Roman" w:hAnsi="Times New Roman" w:cs="Times New Roman"/>
          <w:color w:val="000000"/>
          <w:lang w:val="en-US" w:eastAsia="zh-CN"/>
        </w:rPr>
      </w:pPr>
      <w:r>
        <w:rPr>
          <w:rFonts w:hint="default" w:ascii="Times New Roman" w:hAnsi="Times New Roman" w:cs="Times New Roman"/>
          <w:color w:val="000000"/>
        </w:rPr>
        <w:t>It is noteworthy that publication volumes and the number of unique authors follow a</w:t>
      </w:r>
      <w:r>
        <w:rPr>
          <w:rFonts w:hint="default" w:ascii="Times New Roman" w:hAnsi="Times New Roman" w:cs="Times New Roman"/>
          <w:color w:val="000000"/>
          <w:lang w:val="en-US" w:eastAsia="zh-CN"/>
        </w:rPr>
        <w:t xml:space="preserve"> rather</w:t>
      </w:r>
      <w:r>
        <w:rPr>
          <w:rFonts w:hint="default" w:ascii="Times New Roman" w:hAnsi="Times New Roman" w:cs="Times New Roman"/>
          <w:color w:val="000000"/>
        </w:rPr>
        <w:t xml:space="preserve"> similar trajectory over time</w:t>
      </w:r>
      <w:r>
        <w:rPr>
          <w:rFonts w:hint="default" w:ascii="Times New Roman" w:hAnsi="Times New Roman" w:cs="Times New Roman"/>
          <w:color w:val="000000"/>
          <w:lang w:val="en-US" w:eastAsia="zh-CN"/>
        </w:rPr>
        <w:t>, which</w:t>
      </w:r>
      <w:r>
        <w:rPr>
          <w:rFonts w:hint="default" w:ascii="Times New Roman" w:hAnsi="Times New Roman" w:cs="Times New Roman"/>
          <w:color w:val="000000"/>
        </w:rPr>
        <w:t xml:space="preserve"> </w:t>
      </w:r>
      <w:r>
        <w:rPr>
          <w:rStyle w:val="10"/>
          <w:rFonts w:hint="default" w:ascii="Times New Roman" w:hAnsi="Times New Roman" w:cs="Times New Roman"/>
          <w:b w:val="0"/>
          <w:bCs/>
          <w:color w:val="000000"/>
        </w:rPr>
        <w:t>align with</w:t>
      </w:r>
      <w:r>
        <w:rPr>
          <w:rFonts w:hint="default" w:ascii="Times New Roman" w:hAnsi="Times New Roman" w:cs="Times New Roman"/>
          <w:color w:val="000000"/>
        </w:rPr>
        <w:t xml:space="preserve"> broader shifts in the literary marketplace.</w:t>
      </w:r>
      <w:r>
        <w:rPr>
          <w:rFonts w:hint="default" w:ascii="Times New Roman" w:hAnsi="Times New Roman" w:cs="Times New Roman"/>
          <w:color w:val="000000"/>
          <w:lang w:val="en-US" w:eastAsia="zh-CN"/>
        </w:rPr>
        <w:t xml:space="preserve"> </w:t>
      </w:r>
      <w:r>
        <w:rPr>
          <w:rFonts w:hint="default" w:ascii="Times New Roman" w:hAnsi="Times New Roman" w:cs="Times New Roman"/>
          <w:color w:val="000000"/>
        </w:rPr>
        <w:t xml:space="preserve">The initial </w:t>
      </w:r>
      <w:r>
        <w:rPr>
          <w:rFonts w:hint="default" w:ascii="Times New Roman" w:hAnsi="Times New Roman" w:cs="Times New Roman"/>
          <w:b/>
          <w:bCs/>
          <w:color w:val="000000"/>
        </w:rPr>
        <w:t>rise</w:t>
      </w:r>
      <w:r>
        <w:rPr>
          <w:rFonts w:hint="default" w:ascii="Times New Roman" w:hAnsi="Times New Roman" w:cs="Times New Roman"/>
          <w:color w:val="000000"/>
        </w:rPr>
        <w:t xml:space="preserve"> in the late 17th century</w:t>
      </w:r>
      <w:r>
        <w:rPr>
          <w:rFonts w:hint="default" w:ascii="Times New Roman" w:hAnsi="Times New Roman" w:cs="Times New Roman"/>
          <w:b w:val="0"/>
          <w:bCs w:val="0"/>
          <w:color w:val="000000"/>
        </w:rPr>
        <w:t xml:space="preserve"> </w:t>
      </w:r>
      <w:r>
        <w:rPr>
          <w:rStyle w:val="10"/>
          <w:rFonts w:hint="default" w:ascii="Times New Roman" w:hAnsi="Times New Roman" w:cs="Times New Roman"/>
          <w:b w:val="0"/>
          <w:bCs w:val="0"/>
          <w:color w:val="000000"/>
        </w:rPr>
        <w:t xml:space="preserve">correlates with the </w:t>
      </w:r>
      <w:r>
        <w:rPr>
          <w:rStyle w:val="10"/>
          <w:rFonts w:hint="default" w:ascii="Times New Roman" w:hAnsi="Times New Roman" w:cs="Times New Roman"/>
          <w:color w:val="000000"/>
        </w:rPr>
        <w:t>Restoration stage</w:t>
      </w:r>
      <w:r>
        <w:rPr>
          <w:rFonts w:hint="default" w:ascii="Times New Roman" w:hAnsi="Times New Roman" w:cs="Times New Roman"/>
          <w:color w:val="000000"/>
        </w:rPr>
        <w:t xml:space="preserve"> following the reopening of theatres in 1660.</w:t>
      </w:r>
      <w:r>
        <w:rPr>
          <w:rFonts w:hint="default" w:ascii="Times New Roman" w:hAnsi="Times New Roman" w:cs="Times New Roman"/>
          <w:color w:val="000000"/>
          <w:lang w:val="en-US" w:eastAsia="zh-CN"/>
        </w:rPr>
        <w:t xml:space="preserve"> T</w:t>
      </w:r>
      <w:r>
        <w:rPr>
          <w:rFonts w:hint="default" w:ascii="Times New Roman" w:hAnsi="Times New Roman" w:cs="Times New Roman"/>
          <w:color w:val="000000"/>
        </w:rPr>
        <w:t xml:space="preserve">he marked </w:t>
      </w:r>
      <w:r>
        <w:rPr>
          <w:rFonts w:hint="default" w:ascii="Times New Roman" w:hAnsi="Times New Roman" w:cs="Times New Roman"/>
          <w:b/>
          <w:bCs/>
          <w:color w:val="000000"/>
        </w:rPr>
        <w:t>decline</w:t>
      </w:r>
      <w:r>
        <w:rPr>
          <w:rFonts w:hint="default" w:ascii="Times New Roman" w:hAnsi="Times New Roman" w:cs="Times New Roman"/>
          <w:color w:val="000000"/>
        </w:rPr>
        <w:t xml:space="preserve"> during the mid-18th century</w:t>
      </w:r>
      <w:r>
        <w:rPr>
          <w:rFonts w:hint="default" w:ascii="Times New Roman" w:hAnsi="Times New Roman" w:cs="Times New Roman"/>
          <w:b w:val="0"/>
          <w:bCs w:val="0"/>
          <w:color w:val="000000"/>
        </w:rPr>
        <w:t xml:space="preserve"> </w:t>
      </w:r>
      <w:r>
        <w:rPr>
          <w:rStyle w:val="10"/>
          <w:rFonts w:hint="default" w:ascii="Times New Roman" w:hAnsi="Times New Roman" w:cs="Times New Roman"/>
          <w:b w:val="0"/>
          <w:bCs w:val="0"/>
          <w:color w:val="000000"/>
        </w:rPr>
        <w:t xml:space="preserve">parallels the impact of the </w:t>
      </w:r>
      <w:r>
        <w:rPr>
          <w:rStyle w:val="10"/>
          <w:rFonts w:hint="default" w:ascii="Times New Roman" w:hAnsi="Times New Roman" w:cs="Times New Roman"/>
          <w:color w:val="000000"/>
        </w:rPr>
        <w:t>Licensing Act of 1737</w:t>
      </w:r>
      <w:r>
        <w:rPr>
          <w:rStyle w:val="11"/>
          <w:rFonts w:hint="default" w:ascii="Times New Roman" w:hAnsi="Times New Roman" w:cs="Times New Roman"/>
          <w:color w:val="000000"/>
        </w:rPr>
        <w:endnoteReference w:id="0"/>
      </w:r>
      <w:r>
        <w:rPr>
          <w:rFonts w:hint="default" w:ascii="Times New Roman" w:hAnsi="Times New Roman" w:cs="Times New Roman"/>
          <w:color w:val="000000"/>
          <w:lang w:val="en-US" w:eastAsia="zh-CN"/>
        </w:rPr>
        <w:t>, which</w:t>
      </w:r>
      <w:r>
        <w:rPr>
          <w:rFonts w:hint="default" w:ascii="Times New Roman" w:hAnsi="Times New Roman" w:cs="Times New Roman"/>
          <w:color w:val="000000"/>
        </w:rPr>
        <w:t xml:space="preserve"> impos</w:t>
      </w:r>
      <w:r>
        <w:rPr>
          <w:rFonts w:hint="default" w:ascii="Times New Roman" w:hAnsi="Times New Roman" w:cs="Times New Roman"/>
          <w:color w:val="000000"/>
          <w:lang w:val="en-US" w:eastAsia="zh-CN"/>
        </w:rPr>
        <w:t>ed</w:t>
      </w:r>
      <w:r>
        <w:rPr>
          <w:rFonts w:hint="default" w:ascii="Times New Roman" w:hAnsi="Times New Roman" w:cs="Times New Roman"/>
          <w:color w:val="000000"/>
        </w:rPr>
        <w:t xml:space="preserve"> strict censorship and restricting patent theatres.</w:t>
      </w:r>
      <w:r>
        <w:rPr>
          <w:rFonts w:hint="default" w:ascii="Times New Roman" w:hAnsi="Times New Roman" w:cs="Times New Roman"/>
          <w:color w:val="000000"/>
          <w:lang w:val="en-US" w:eastAsia="zh-CN"/>
        </w:rPr>
        <w:t xml:space="preserve"> </w:t>
      </w:r>
      <w:r>
        <w:rPr>
          <w:rFonts w:hint="default" w:ascii="Times New Roman" w:hAnsi="Times New Roman" w:cs="Times New Roman"/>
          <w:color w:val="000000"/>
        </w:rPr>
        <w:t xml:space="preserve">Finally, the dramatic resurgence in the 1890s </w:t>
      </w:r>
      <w:r>
        <w:rPr>
          <w:rFonts w:hint="default" w:ascii="Times New Roman" w:hAnsi="Times New Roman" w:cs="Times New Roman"/>
          <w:color w:val="000000"/>
          <w:lang w:val="en-US" w:eastAsia="zh-CN"/>
        </w:rPr>
        <w:t xml:space="preserve">might </w:t>
      </w:r>
      <w:r>
        <w:rPr>
          <w:rFonts w:hint="default" w:ascii="Times New Roman" w:hAnsi="Times New Roman" w:cs="Times New Roman"/>
          <w:color w:val="000000"/>
        </w:rPr>
        <w:t xml:space="preserve">reflects the </w:t>
      </w:r>
      <w:r>
        <w:rPr>
          <w:rStyle w:val="10"/>
          <w:rFonts w:hint="default" w:ascii="Times New Roman" w:hAnsi="Times New Roman" w:cs="Times New Roman"/>
          <w:b w:val="0"/>
          <w:bCs/>
          <w:color w:val="000000"/>
        </w:rPr>
        <w:t>industrialization of print</w:t>
      </w:r>
      <w:r>
        <w:rPr>
          <w:rFonts w:hint="default" w:ascii="Times New Roman" w:hAnsi="Times New Roman" w:cs="Times New Roman"/>
          <w:color w:val="000000"/>
        </w:rPr>
        <w:t xml:space="preserve"> in the </w:t>
      </w:r>
      <w:r>
        <w:rPr>
          <w:rFonts w:hint="default" w:ascii="Times New Roman" w:hAnsi="Times New Roman" w:cs="Times New Roman"/>
          <w:b/>
          <w:bCs/>
          <w:color w:val="000000"/>
        </w:rPr>
        <w:t>Victorian era</w:t>
      </w:r>
      <w:r>
        <w:rPr>
          <w:rFonts w:hint="default" w:ascii="Times New Roman" w:hAnsi="Times New Roman" w:cs="Times New Roman"/>
          <w:color w:val="000000"/>
          <w:lang w:val="en-US" w:eastAsia="zh-CN"/>
        </w:rPr>
        <w:t>, featured</w:t>
      </w:r>
      <w:r>
        <w:rPr>
          <w:rFonts w:hint="default" w:ascii="Times New Roman" w:hAnsi="Times New Roman" w:cs="Times New Roman"/>
          <w:color w:val="000000"/>
        </w:rPr>
        <w:t xml:space="preserve"> by the expansion of mass publishing and a growing readership</w:t>
      </w:r>
      <w:r>
        <w:rPr>
          <w:rStyle w:val="11"/>
          <w:rFonts w:hint="default" w:ascii="Times New Roman" w:hAnsi="Times New Roman" w:cs="Times New Roman"/>
          <w:color w:val="000000"/>
        </w:rPr>
        <w:endnoteReference w:id="1"/>
      </w:r>
      <w:r>
        <w:rPr>
          <w:rFonts w:hint="default" w:ascii="Times New Roman" w:hAnsi="Times New Roman" w:cs="Times New Roman"/>
          <w:color w:val="000000"/>
          <w:lang w:val="en-US" w:eastAsia="zh-CN"/>
        </w:rPr>
        <w:t>.</w:t>
      </w:r>
    </w:p>
    <w:p w14:paraId="00A7A3CF">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Unknown Authors over time</w:t>
      </w:r>
    </w:p>
    <w:p w14:paraId="573E365B">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In the early decades (1540s–1590s), almost no works lack author attribution, but the ratio quickly rises after 1600 and then fluctuates between the early 17th and mid-19th centuries. Several peaks occur around the 1730s and 1760s, when about one quarter of works are unattributed, while sharp drops appear in the 1680s and 1700s with ratios falling below 0.05. </w:t>
      </w:r>
    </w:p>
    <w:p w14:paraId="545C056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inline distT="0" distB="0" distL="114300" distR="114300">
            <wp:extent cx="3820160" cy="2783205"/>
            <wp:effectExtent l="0" t="0" r="8890" b="7620"/>
            <wp:docPr id="6" name="图片 6" descr="2.4UnknownAutRatioOverDe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UnknownAutRatioOverDecade"/>
                    <pic:cNvPicPr>
                      <a:picLocks noChangeAspect="1"/>
                    </pic:cNvPicPr>
                  </pic:nvPicPr>
                  <pic:blipFill>
                    <a:blip r:embed="rId10"/>
                    <a:srcRect l="-797" t="8912" r="-519" b="5657"/>
                    <a:stretch>
                      <a:fillRect/>
                    </a:stretch>
                  </pic:blipFill>
                  <pic:spPr>
                    <a:xfrm>
                      <a:off x="0" y="0"/>
                      <a:ext cx="3820160" cy="2783205"/>
                    </a:xfrm>
                    <a:prstGeom prst="rect">
                      <a:avLst/>
                    </a:prstGeom>
                  </pic:spPr>
                </pic:pic>
              </a:graphicData>
            </a:graphic>
          </wp:inline>
        </w:drawing>
      </w:r>
    </w:p>
    <w:p w14:paraId="7421BB3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Figure 4. Unknown authors over time</w:t>
      </w:r>
    </w:p>
    <w:p w14:paraId="0C170575">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2.3 Publishers over time</w:t>
      </w:r>
    </w:p>
    <w:p w14:paraId="6A06DBF8">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The total unique publishers over this period are 624, with 991 publications without a documented author, equaling a </w:t>
      </w:r>
      <w:r>
        <w:rPr>
          <w:rFonts w:hint="default" w:ascii="Times New Roman" w:hAnsi="Times New Roman" w:eastAsia="宋体" w:cs="Times New Roman"/>
          <w:b/>
          <w:bCs/>
          <w:i w:val="0"/>
          <w:strike w:val="0"/>
          <w:color w:val="auto"/>
          <w:kern w:val="2"/>
          <w:sz w:val="24"/>
          <w:szCs w:val="24"/>
          <w:u w:val="none"/>
          <w:lang w:val="en-US" w:eastAsia="zh-CN" w:bidi="ar-SA"/>
        </w:rPr>
        <w:t>Missing Data Rate of 42.33%</w:t>
      </w:r>
      <w:r>
        <w:rPr>
          <w:rFonts w:hint="default" w:ascii="Times New Roman" w:hAnsi="Times New Roman" w:eastAsia="宋体" w:cs="Times New Roman"/>
          <w:b w:val="0"/>
          <w:i w:val="0"/>
          <w:strike w:val="0"/>
          <w:color w:val="auto"/>
          <w:kern w:val="2"/>
          <w:sz w:val="24"/>
          <w:szCs w:val="24"/>
          <w:u w:val="none"/>
          <w:lang w:val="en-US" w:eastAsia="zh-CN" w:bidi="ar-SA"/>
        </w:rPr>
        <w:t xml:space="preserve">, significantly higher than that of the </w:t>
      </w:r>
      <w:r>
        <w:rPr>
          <w:rFonts w:hint="default" w:ascii="Times New Roman" w:hAnsi="Times New Roman" w:eastAsia="宋体" w:cs="Times New Roman"/>
          <w:b/>
          <w:bCs/>
          <w:i w:val="0"/>
          <w:strike w:val="0"/>
          <w:color w:val="auto"/>
          <w:kern w:val="2"/>
          <w:sz w:val="24"/>
          <w:szCs w:val="24"/>
          <w:u w:val="none"/>
          <w:lang w:val="en-US" w:eastAsia="zh-CN" w:bidi="ar-SA"/>
        </w:rPr>
        <w:t>authors (14.28%)</w:t>
      </w:r>
      <w:r>
        <w:rPr>
          <w:rFonts w:hint="default" w:ascii="Times New Roman" w:hAnsi="Times New Roman" w:eastAsia="宋体" w:cs="Times New Roman"/>
          <w:b w:val="0"/>
          <w:i w:val="0"/>
          <w:strike w:val="0"/>
          <w:color w:val="auto"/>
          <w:kern w:val="2"/>
          <w:sz w:val="24"/>
          <w:szCs w:val="24"/>
          <w:u w:val="none"/>
          <w:lang w:val="en-US" w:eastAsia="zh-CN" w:bidi="ar-SA"/>
        </w:rPr>
        <w:t>, which may suggest the publishing world and the audience generally prioritize authors over publishers over this period.</w:t>
      </w:r>
    </w:p>
    <w:p w14:paraId="3473C12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Here concentration analysis was conducted with </w:t>
      </w:r>
      <w:r>
        <w:rPr>
          <w:rFonts w:hint="default" w:ascii="Times New Roman" w:hAnsi="Times New Roman" w:eastAsia="宋体" w:cs="Times New Roman"/>
          <w:b/>
          <w:bCs/>
          <w:i w:val="0"/>
          <w:strike w:val="0"/>
          <w:color w:val="auto"/>
          <w:kern w:val="2"/>
          <w:sz w:val="24"/>
          <w:szCs w:val="24"/>
          <w:u w:val="none"/>
          <w:lang w:val="en-US" w:eastAsia="zh-CN" w:bidi="ar-SA"/>
        </w:rPr>
        <w:t>concentration ratio (CR3</w:t>
      </w:r>
      <w:r>
        <w:rPr>
          <w:rFonts w:hint="default" w:ascii="Times New Roman" w:hAnsi="Times New Roman" w:eastAsia="宋体" w:cs="Times New Roman"/>
          <w:b w:val="0"/>
          <w:i w:val="0"/>
          <w:strike w:val="0"/>
          <w:color w:val="auto"/>
          <w:kern w:val="2"/>
          <w:sz w:val="24"/>
          <w:szCs w:val="24"/>
          <w:u w:val="none"/>
          <w:lang w:val="en-US" w:eastAsia="zh-CN" w:bidi="ar-SA"/>
        </w:rPr>
        <w:t xml:space="preserve">, top 3 publishers). It is shown the British drama publishing market was generally competitive, with no single group of publishers dominating the industry for most of the period. In most decades, the concentration ratio stays </w:t>
      </w:r>
      <w:r>
        <w:rPr>
          <w:rFonts w:hint="default" w:ascii="Times New Roman" w:hAnsi="Times New Roman" w:eastAsia="宋体" w:cs="Times New Roman"/>
          <w:b/>
          <w:bCs/>
          <w:i w:val="0"/>
          <w:strike w:val="0"/>
          <w:color w:val="auto"/>
          <w:kern w:val="2"/>
          <w:sz w:val="24"/>
          <w:szCs w:val="24"/>
          <w:u w:val="none"/>
          <w:lang w:val="en-US" w:eastAsia="zh-CN" w:bidi="ar-SA"/>
        </w:rPr>
        <w:t>below 25%</w:t>
      </w:r>
      <w:r>
        <w:rPr>
          <w:rFonts w:hint="default" w:ascii="Times New Roman" w:hAnsi="Times New Roman" w:eastAsia="宋体" w:cs="Times New Roman"/>
          <w:b w:val="0"/>
          <w:i w:val="0"/>
          <w:strike w:val="0"/>
          <w:color w:val="auto"/>
          <w:kern w:val="2"/>
          <w:sz w:val="24"/>
          <w:szCs w:val="24"/>
          <w:u w:val="none"/>
          <w:lang w:val="en-US" w:eastAsia="zh-CN" w:bidi="ar-SA"/>
        </w:rPr>
        <w:t xml:space="preserve">, indicating a fragmented market structure. An exception appears between the 1710s and 1750s, when the ratio </w:t>
      </w:r>
      <w:r>
        <w:rPr>
          <w:rFonts w:hint="default" w:ascii="Times New Roman" w:hAnsi="Times New Roman" w:eastAsia="宋体" w:cs="Times New Roman"/>
          <w:b w:val="0"/>
          <w:bCs w:val="0"/>
          <w:i w:val="0"/>
          <w:strike w:val="0"/>
          <w:color w:val="auto"/>
          <w:kern w:val="2"/>
          <w:sz w:val="24"/>
          <w:szCs w:val="24"/>
          <w:u w:val="none"/>
          <w:lang w:val="en-US" w:eastAsia="zh-CN" w:bidi="ar-SA"/>
        </w:rPr>
        <w:t xml:space="preserve">rises to </w:t>
      </w:r>
      <w:r>
        <w:rPr>
          <w:rFonts w:hint="default" w:ascii="Times New Roman" w:hAnsi="Times New Roman" w:eastAsia="宋体" w:cs="Times New Roman"/>
          <w:b/>
          <w:bCs/>
          <w:i w:val="0"/>
          <w:strike w:val="0"/>
          <w:color w:val="auto"/>
          <w:kern w:val="2"/>
          <w:sz w:val="24"/>
          <w:szCs w:val="24"/>
          <w:u w:val="none"/>
          <w:lang w:val="en-US" w:eastAsia="zh-CN" w:bidi="ar-SA"/>
        </w:rPr>
        <w:t>around 50%</w:t>
      </w:r>
      <w:r>
        <w:rPr>
          <w:rFonts w:hint="default" w:ascii="Times New Roman" w:hAnsi="Times New Roman" w:eastAsia="宋体" w:cs="Times New Roman"/>
          <w:b w:val="0"/>
          <w:i w:val="0"/>
          <w:strike w:val="0"/>
          <w:color w:val="auto"/>
          <w:kern w:val="2"/>
          <w:sz w:val="24"/>
          <w:szCs w:val="24"/>
          <w:u w:val="none"/>
          <w:lang w:val="en-US" w:eastAsia="zh-CN" w:bidi="ar-SA"/>
        </w:rPr>
        <w:t>. This temporary increase suggests a looser form of oligopoly, which may be linked to changes in copyright regulation following the Statute of Anne</w:t>
      </w:r>
      <w:r>
        <w:rPr>
          <w:rStyle w:val="11"/>
          <w:rFonts w:hint="default" w:ascii="Times New Roman" w:hAnsi="Times New Roman" w:eastAsia="宋体" w:cs="Times New Roman"/>
          <w:b w:val="0"/>
          <w:i w:val="0"/>
          <w:strike w:val="0"/>
          <w:color w:val="auto"/>
          <w:kern w:val="2"/>
          <w:sz w:val="24"/>
          <w:szCs w:val="24"/>
          <w:u w:val="none"/>
          <w:lang w:val="en-US" w:eastAsia="zh-CN" w:bidi="ar-SA"/>
        </w:rPr>
        <w:endnoteReference w:id="2"/>
      </w:r>
      <w:r>
        <w:rPr>
          <w:rFonts w:hint="default" w:ascii="Times New Roman" w:hAnsi="Times New Roman" w:eastAsia="宋体" w:cs="Times New Roman"/>
          <w:b w:val="0"/>
          <w:i w:val="0"/>
          <w:strike w:val="0"/>
          <w:color w:val="auto"/>
          <w:kern w:val="2"/>
          <w:sz w:val="24"/>
          <w:szCs w:val="24"/>
          <w:u w:val="none"/>
          <w:lang w:val="en-US" w:eastAsia="zh-CN" w:bidi="ar-SA"/>
        </w:rPr>
        <w:t xml:space="preserve"> in 1710, the first statue on copyrights.</w:t>
      </w:r>
    </w:p>
    <w:p w14:paraId="6608C66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inline distT="0" distB="0" distL="114300" distR="114300">
            <wp:extent cx="3616960" cy="2008505"/>
            <wp:effectExtent l="0" t="0" r="2540" b="1270"/>
            <wp:docPr id="7" name="图片 7" descr="3.2Pub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2PubCR3"/>
                    <pic:cNvPicPr>
                      <a:picLocks noChangeAspect="1"/>
                    </pic:cNvPicPr>
                  </pic:nvPicPr>
                  <pic:blipFill>
                    <a:blip r:embed="rId11"/>
                    <a:srcRect l="-1967" t="9034" r="-435" b="7348"/>
                    <a:stretch>
                      <a:fillRect/>
                    </a:stretch>
                  </pic:blipFill>
                  <pic:spPr>
                    <a:xfrm>
                      <a:off x="0" y="0"/>
                      <a:ext cx="3616960" cy="2008505"/>
                    </a:xfrm>
                    <a:prstGeom prst="rect">
                      <a:avLst/>
                    </a:prstGeom>
                  </pic:spPr>
                </pic:pic>
              </a:graphicData>
            </a:graphic>
          </wp:inline>
        </w:drawing>
      </w:r>
    </w:p>
    <w:p w14:paraId="3BBF166D">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Figure 5. Publisher CR3 and missing rate over time</w:t>
      </w:r>
    </w:p>
    <w:p w14:paraId="0CB97FEF">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However, these results should be treated with caution. As shown by the grey bars, the proportion of </w:t>
      </w:r>
      <w:r>
        <w:rPr>
          <w:rFonts w:hint="default" w:ascii="Times New Roman" w:hAnsi="Times New Roman" w:eastAsia="宋体" w:cs="Times New Roman"/>
          <w:b/>
          <w:bCs/>
          <w:i w:val="0"/>
          <w:strike w:val="0"/>
          <w:color w:val="auto"/>
          <w:kern w:val="2"/>
          <w:sz w:val="24"/>
          <w:szCs w:val="24"/>
          <w:u w:val="none"/>
          <w:lang w:val="en-US" w:eastAsia="zh-CN" w:bidi="ar-SA"/>
        </w:rPr>
        <w:t>missing data</w:t>
      </w:r>
      <w:r>
        <w:rPr>
          <w:rFonts w:hint="default" w:ascii="Times New Roman" w:hAnsi="Times New Roman" w:eastAsia="宋体" w:cs="Times New Roman"/>
          <w:b w:val="0"/>
          <w:i w:val="0"/>
          <w:strike w:val="0"/>
          <w:color w:val="auto"/>
          <w:kern w:val="2"/>
          <w:sz w:val="24"/>
          <w:szCs w:val="24"/>
          <w:u w:val="none"/>
          <w:lang w:val="en-US" w:eastAsia="zh-CN" w:bidi="ar-SA"/>
        </w:rPr>
        <w:t xml:space="preserve"> is often very high, frequently exceeding 50%. In addition, the sharp concentration levels at the very beginning and end of the timeline are more plausibly caused by the limited survival of archival records in those periods.</w:t>
      </w:r>
    </w:p>
    <w:p w14:paraId="45FAB3A8">
      <w:pPr>
        <w:keepNext w:val="0"/>
        <w:keepLines w:val="0"/>
        <w:pageBreakBefore w:val="0"/>
        <w:widowControl w:val="0"/>
        <w:numPr>
          <w:ilvl w:val="0"/>
          <w:numId w:val="1"/>
        </w:numPr>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Analysis of Titles and Socio-cultural Reflections</w:t>
      </w:r>
    </w:p>
    <w:p w14:paraId="4D2C26D5">
      <w:pPr>
        <w:keepNext w:val="0"/>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This section analyzes dramatic titles in greater detail, using keyword trends to explore how plays reflected expanding global interests and changing ideas about private life. </w:t>
      </w:r>
    </w:p>
    <w:p w14:paraId="2FC23753">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3.1. Evolution of Geographic Discourse in British Drama Titles</w:t>
      </w:r>
    </w:p>
    <w:p w14:paraId="7431499C">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In this part of the analysis, several methodological approaches were tested before a hybrid strategy was adopted. After several attempts, a hybrid approach combining historical knowledge and computational analysis was used to build a geographic keyword list. First, the </w:t>
      </w:r>
      <w:r>
        <w:rPr>
          <w:rFonts w:hint="default" w:ascii="Times New Roman" w:hAnsi="Times New Roman" w:eastAsia="宋体" w:cs="Times New Roman"/>
          <w:b/>
          <w:bCs/>
          <w:i w:val="0"/>
          <w:strike w:val="0"/>
          <w:color w:val="auto"/>
          <w:kern w:val="2"/>
          <w:sz w:val="24"/>
          <w:szCs w:val="24"/>
          <w:u w:val="none"/>
          <w:lang w:val="en-US" w:eastAsia="zh-CN" w:bidi="ar-SA"/>
        </w:rPr>
        <w:t>top 500 frequent words</w:t>
      </w:r>
      <w:r>
        <w:rPr>
          <w:rFonts w:hint="default" w:ascii="Times New Roman" w:hAnsi="Times New Roman" w:eastAsia="宋体" w:cs="Times New Roman"/>
          <w:b w:val="0"/>
          <w:i w:val="0"/>
          <w:strike w:val="0"/>
          <w:color w:val="auto"/>
          <w:kern w:val="2"/>
          <w:sz w:val="24"/>
          <w:szCs w:val="24"/>
          <w:u w:val="none"/>
          <w:lang w:val="en-US" w:eastAsia="zh-CN" w:bidi="ar-SA"/>
        </w:rPr>
        <w:t xml:space="preserve"> from titles were extracted in Python and grouped into three categories: </w:t>
      </w:r>
      <w:r>
        <w:rPr>
          <w:rFonts w:hint="default" w:ascii="Times New Roman" w:hAnsi="Times New Roman" w:eastAsia="宋体" w:cs="Times New Roman"/>
          <w:b/>
          <w:bCs/>
          <w:i w:val="0"/>
          <w:strike w:val="0"/>
          <w:color w:val="auto"/>
          <w:kern w:val="2"/>
          <w:sz w:val="24"/>
          <w:szCs w:val="24"/>
          <w:u w:val="none"/>
          <w:lang w:val="en-US" w:eastAsia="zh-CN" w:bidi="ar-SA"/>
        </w:rPr>
        <w:t>Continental (Europe)</w:t>
      </w:r>
      <w:r>
        <w:rPr>
          <w:rFonts w:hint="default" w:ascii="Times New Roman" w:hAnsi="Times New Roman" w:eastAsia="宋体" w:cs="Times New Roman"/>
          <w:b w:val="0"/>
          <w:i w:val="0"/>
          <w:strike w:val="0"/>
          <w:color w:val="auto"/>
          <w:kern w:val="2"/>
          <w:sz w:val="24"/>
          <w:szCs w:val="24"/>
          <w:u w:val="none"/>
          <w:lang w:val="en-US" w:eastAsia="zh-CN" w:bidi="ar-SA"/>
        </w:rPr>
        <w:t xml:space="preserve">, </w:t>
      </w:r>
      <w:r>
        <w:rPr>
          <w:rFonts w:hint="default" w:ascii="Times New Roman" w:hAnsi="Times New Roman" w:eastAsia="宋体" w:cs="Times New Roman"/>
          <w:b/>
          <w:bCs/>
          <w:i w:val="0"/>
          <w:strike w:val="0"/>
          <w:color w:val="auto"/>
          <w:kern w:val="2"/>
          <w:sz w:val="24"/>
          <w:szCs w:val="24"/>
          <w:u w:val="none"/>
          <w:lang w:val="en-US" w:eastAsia="zh-CN" w:bidi="ar-SA"/>
        </w:rPr>
        <w:t>Colonial (New World)</w:t>
      </w:r>
      <w:r>
        <w:rPr>
          <w:rFonts w:hint="default" w:ascii="Times New Roman" w:hAnsi="Times New Roman" w:eastAsia="宋体" w:cs="Times New Roman"/>
          <w:b w:val="0"/>
          <w:i w:val="0"/>
          <w:strike w:val="0"/>
          <w:color w:val="auto"/>
          <w:kern w:val="2"/>
          <w:sz w:val="24"/>
          <w:szCs w:val="24"/>
          <w:u w:val="none"/>
          <w:lang w:val="en-US" w:eastAsia="zh-CN" w:bidi="ar-SA"/>
        </w:rPr>
        <w:t xml:space="preserve">, and </w:t>
      </w:r>
      <w:r>
        <w:rPr>
          <w:rFonts w:hint="default" w:ascii="Times New Roman" w:hAnsi="Times New Roman" w:eastAsia="宋体" w:cs="Times New Roman"/>
          <w:b/>
          <w:bCs/>
          <w:i w:val="0"/>
          <w:strike w:val="0"/>
          <w:color w:val="auto"/>
          <w:kern w:val="2"/>
          <w:sz w:val="24"/>
          <w:szCs w:val="24"/>
          <w:u w:val="none"/>
          <w:lang w:val="en-US" w:eastAsia="zh-CN" w:bidi="ar-SA"/>
        </w:rPr>
        <w:t>Oriental (Exotic East)</w:t>
      </w:r>
      <w:r>
        <w:rPr>
          <w:rFonts w:hint="default" w:ascii="Times New Roman" w:hAnsi="Times New Roman" w:eastAsia="宋体" w:cs="Times New Roman"/>
          <w:b w:val="0"/>
          <w:i w:val="0"/>
          <w:strike w:val="0"/>
          <w:color w:val="auto"/>
          <w:kern w:val="2"/>
          <w:sz w:val="24"/>
          <w:szCs w:val="24"/>
          <w:u w:val="none"/>
          <w:lang w:val="en-US" w:eastAsia="zh-CN" w:bidi="ar-SA"/>
        </w:rPr>
        <w:t xml:space="preserve">. Then, a full-corpus scan was utilized to identify the words </w:t>
      </w:r>
      <w:r>
        <w:rPr>
          <w:rFonts w:hint="default" w:ascii="Times New Roman" w:hAnsi="Times New Roman" w:eastAsia="宋体" w:cs="Times New Roman"/>
          <w:b/>
          <w:bCs/>
          <w:i w:val="0"/>
          <w:strike w:val="0"/>
          <w:color w:val="auto"/>
          <w:kern w:val="2"/>
          <w:sz w:val="24"/>
          <w:szCs w:val="24"/>
          <w:u w:val="none"/>
          <w:lang w:val="en-US" w:eastAsia="zh-CN" w:bidi="ar-SA"/>
        </w:rPr>
        <w:t xml:space="preserve">co-occurring </w:t>
      </w:r>
      <w:r>
        <w:rPr>
          <w:rFonts w:hint="default" w:ascii="Times New Roman" w:hAnsi="Times New Roman" w:eastAsia="宋体" w:cs="Times New Roman"/>
          <w:b w:val="0"/>
          <w:i w:val="0"/>
          <w:strike w:val="0"/>
          <w:color w:val="auto"/>
          <w:kern w:val="2"/>
          <w:sz w:val="24"/>
          <w:szCs w:val="24"/>
          <w:u w:val="none"/>
          <w:lang w:val="en-US" w:eastAsia="zh-CN" w:bidi="ar-SA"/>
        </w:rPr>
        <w:t>with these seeds to validate the list, with ambiguous terms manually filtered out. Relative frequencies by decade were calculated using Regex matches, and 100% stacked bar charts were used to visualize temporal changes in geographic themes. The analysis of title keywords indicates three distinct phases in terms of geographic space:</w:t>
      </w:r>
    </w:p>
    <w:p w14:paraId="67370103">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2"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High Volatility</w:t>
      </w:r>
      <w:r>
        <w:rPr>
          <w:rFonts w:hint="default" w:ascii="Times New Roman" w:hAnsi="Times New Roman" w:eastAsia="宋体" w:cs="Times New Roman"/>
          <w:b w:val="0"/>
          <w:i w:val="0"/>
          <w:strike w:val="0"/>
          <w:color w:val="auto"/>
          <w:kern w:val="2"/>
          <w:sz w:val="24"/>
          <w:szCs w:val="24"/>
          <w:u w:val="none"/>
          <w:lang w:val="en-US" w:eastAsia="zh-CN" w:bidi="ar-SA"/>
        </w:rPr>
        <w:t xml:space="preserve"> (1660s–1760s). Over this period, several decades display a 100% share for a single category. For instance, the 1740s are entirely dominated by "Oriental" references, while the 1760s by "Colonial" terms. These absolute values are likely attributable to </w:t>
      </w:r>
      <w:r>
        <w:rPr>
          <w:rFonts w:hint="default" w:ascii="Times New Roman" w:hAnsi="Times New Roman" w:eastAsia="宋体" w:cs="Times New Roman"/>
          <w:b/>
          <w:bCs/>
          <w:i w:val="0"/>
          <w:strike w:val="0"/>
          <w:color w:val="auto"/>
          <w:kern w:val="2"/>
          <w:sz w:val="24"/>
          <w:szCs w:val="24"/>
          <w:u w:val="none"/>
          <w:lang w:val="en-US" w:eastAsia="zh-CN" w:bidi="ar-SA"/>
        </w:rPr>
        <w:t>small sample sizes</w:t>
      </w:r>
      <w:r>
        <w:rPr>
          <w:rFonts w:hint="default" w:ascii="Times New Roman" w:hAnsi="Times New Roman" w:eastAsia="宋体" w:cs="Times New Roman"/>
          <w:b w:val="0"/>
          <w:i w:val="0"/>
          <w:strike w:val="0"/>
          <w:color w:val="auto"/>
          <w:kern w:val="2"/>
          <w:sz w:val="24"/>
          <w:szCs w:val="24"/>
          <w:u w:val="none"/>
          <w:lang w:val="en-US" w:eastAsia="zh-CN" w:bidi="ar-SA"/>
        </w:rPr>
        <w:t xml:space="preserve"> rather than sudden cultural shifts. </w:t>
      </w:r>
    </w:p>
    <w:p w14:paraId="686A4CFA">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2"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Diversification of Themes</w:t>
      </w:r>
      <w:r>
        <w:rPr>
          <w:rFonts w:hint="default" w:ascii="Times New Roman" w:hAnsi="Times New Roman" w:eastAsia="宋体" w:cs="Times New Roman"/>
          <w:b w:val="0"/>
          <w:i w:val="0"/>
          <w:strike w:val="0"/>
          <w:color w:val="auto"/>
          <w:kern w:val="2"/>
          <w:sz w:val="24"/>
          <w:szCs w:val="24"/>
          <w:u w:val="none"/>
          <w:lang w:val="en-US" w:eastAsia="zh-CN" w:bidi="ar-SA"/>
        </w:rPr>
        <w:t xml:space="preserve"> (1770s– 1860s). A more </w:t>
      </w:r>
      <w:r>
        <w:rPr>
          <w:rFonts w:hint="default" w:ascii="Times New Roman" w:hAnsi="Times New Roman" w:eastAsia="宋体" w:cs="Times New Roman"/>
          <w:b/>
          <w:bCs/>
          <w:i w:val="0"/>
          <w:strike w:val="0"/>
          <w:color w:val="auto"/>
          <w:kern w:val="2"/>
          <w:sz w:val="24"/>
          <w:szCs w:val="24"/>
          <w:u w:val="none"/>
          <w:lang w:val="en-US" w:eastAsia="zh-CN" w:bidi="ar-SA"/>
        </w:rPr>
        <w:t>mixed distribution</w:t>
      </w:r>
      <w:r>
        <w:rPr>
          <w:rFonts w:hint="default" w:ascii="Times New Roman" w:hAnsi="Times New Roman" w:eastAsia="宋体" w:cs="Times New Roman"/>
          <w:b w:val="0"/>
          <w:i w:val="0"/>
          <w:strike w:val="0"/>
          <w:color w:val="auto"/>
          <w:kern w:val="2"/>
          <w:sz w:val="24"/>
          <w:szCs w:val="24"/>
          <w:u w:val="none"/>
          <w:lang w:val="en-US" w:eastAsia="zh-CN" w:bidi="ar-SA"/>
        </w:rPr>
        <w:t xml:space="preserve"> is observed during this period, during which no single category completely dominates the discourse. An exception is observed in the 1860s, where "Colonial" themes account for the entire share of geographic references. However, this sudden spike may again reflect sample limitations.</w:t>
      </w:r>
    </w:p>
    <w:p w14:paraId="436B3F72">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2"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The Resurgence of Continental References</w:t>
      </w:r>
      <w:r>
        <w:rPr>
          <w:rFonts w:hint="default" w:ascii="Times New Roman" w:hAnsi="Times New Roman" w:eastAsia="宋体" w:cs="Times New Roman"/>
          <w:b w:val="0"/>
          <w:i w:val="0"/>
          <w:strike w:val="0"/>
          <w:color w:val="auto"/>
          <w:kern w:val="2"/>
          <w:sz w:val="24"/>
          <w:szCs w:val="24"/>
          <w:u w:val="none"/>
          <w:lang w:val="en-US" w:eastAsia="zh-CN" w:bidi="ar-SA"/>
        </w:rPr>
        <w:t xml:space="preserve"> (1870s–1890s). Starting in the 1870s, the "Continental" category began to increase significantly. By the 1880s, </w:t>
      </w:r>
      <w:r>
        <w:rPr>
          <w:rFonts w:hint="default" w:ascii="Times New Roman" w:hAnsi="Times New Roman" w:eastAsia="宋体" w:cs="Times New Roman"/>
          <w:b/>
          <w:bCs/>
          <w:i w:val="0"/>
          <w:strike w:val="0"/>
          <w:color w:val="auto"/>
          <w:kern w:val="2"/>
          <w:sz w:val="24"/>
          <w:szCs w:val="24"/>
          <w:u w:val="none"/>
          <w:lang w:val="en-US" w:eastAsia="zh-CN" w:bidi="ar-SA"/>
        </w:rPr>
        <w:t>Continental references regained a dominant position</w:t>
      </w:r>
      <w:r>
        <w:rPr>
          <w:rFonts w:hint="default" w:ascii="Times New Roman" w:hAnsi="Times New Roman" w:eastAsia="宋体" w:cs="Times New Roman"/>
          <w:b w:val="0"/>
          <w:i w:val="0"/>
          <w:strike w:val="0"/>
          <w:color w:val="auto"/>
          <w:kern w:val="2"/>
          <w:sz w:val="24"/>
          <w:szCs w:val="24"/>
          <w:u w:val="none"/>
          <w:lang w:val="en-US" w:eastAsia="zh-CN" w:bidi="ar-SA"/>
        </w:rPr>
        <w:t xml:space="preserve">, accounting for approximately 80% of the geographic titles. While the "Colonial" and "Oriental" became marginalized during this period, they remained present </w:t>
      </w:r>
      <w:r>
        <w:rPr>
          <w:rFonts w:hint="default" w:ascii="Times New Roman" w:hAnsi="Times New Roman" w:eastAsia="宋体" w:cs="Times New Roman"/>
          <w:b/>
          <w:bCs/>
          <w:i w:val="0"/>
          <w:strike w:val="0"/>
          <w:color w:val="auto"/>
          <w:kern w:val="2"/>
          <w:sz w:val="24"/>
          <w:szCs w:val="24"/>
          <w:u w:val="none"/>
          <w:lang w:val="en-US" w:eastAsia="zh-CN" w:bidi="ar-SA"/>
        </w:rPr>
        <w:t>as a stable minority</w:t>
      </w:r>
      <w:r>
        <w:rPr>
          <w:rFonts w:hint="default" w:ascii="Times New Roman" w:hAnsi="Times New Roman" w:eastAsia="宋体" w:cs="Times New Roman"/>
          <w:b w:val="0"/>
          <w:i w:val="0"/>
          <w:strike w:val="0"/>
          <w:color w:val="auto"/>
          <w:kern w:val="2"/>
          <w:sz w:val="24"/>
          <w:szCs w:val="24"/>
          <w:u w:val="none"/>
          <w:lang w:val="en-US" w:eastAsia="zh-CN" w:bidi="ar-SA"/>
        </w:rPr>
        <w:t xml:space="preserve"> (roughly 20%), showing that while the focus of the British authors and readers turned towards Europe, the interest in other parts of the world did not vanish entirely.</w:t>
      </w:r>
    </w:p>
    <w:p w14:paraId="32672B78">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drawing>
          <wp:inline distT="0" distB="0" distL="114300" distR="114300">
            <wp:extent cx="5610225" cy="2805430"/>
            <wp:effectExtent l="0" t="0" r="0" b="4445"/>
            <wp:docPr id="9" name="图片 9" descr="geographic_trends_plo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geographic_trends_plot_v2"/>
                    <pic:cNvPicPr>
                      <a:picLocks noChangeAspect="1"/>
                    </pic:cNvPicPr>
                  </pic:nvPicPr>
                  <pic:blipFill>
                    <a:blip r:embed="rId12"/>
                    <a:stretch>
                      <a:fillRect/>
                    </a:stretch>
                  </pic:blipFill>
                  <pic:spPr>
                    <a:xfrm>
                      <a:off x="0" y="0"/>
                      <a:ext cx="5610225" cy="2805430"/>
                    </a:xfrm>
                    <a:prstGeom prst="rect">
                      <a:avLst/>
                    </a:prstGeom>
                  </pic:spPr>
                </pic:pic>
              </a:graphicData>
            </a:graphic>
          </wp:inline>
        </w:drawing>
      </w:r>
    </w:p>
    <w:p w14:paraId="75DEC304">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Figure 6. </w:t>
      </w:r>
      <w:r>
        <w:rPr>
          <w:rFonts w:hint="default" w:ascii="Times New Roman" w:hAnsi="Times New Roman" w:eastAsia="宋体" w:cs="Times New Roman"/>
          <w:b w:val="0"/>
          <w:bCs/>
          <w:i w:val="0"/>
          <w:strike w:val="0"/>
          <w:color w:val="auto"/>
          <w:kern w:val="2"/>
          <w:sz w:val="24"/>
          <w:szCs w:val="24"/>
          <w:u w:val="none"/>
          <w:lang w:val="en-US" w:eastAsia="zh-CN" w:bidi="ar-SA"/>
        </w:rPr>
        <w:t>Evolution of Geographic Discourse in British Drama Titles (relative proportions)</w:t>
      </w:r>
    </w:p>
    <w:p w14:paraId="037AE3FE">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3.2 The decline of the Aristocratic and the rise of the Domestic</w:t>
      </w:r>
    </w:p>
    <w:p w14:paraId="73FF0505">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sz w:val="24"/>
          <w:szCs w:val="24"/>
          <w:lang w:val="en-US" w:eastAsia="zh-CN"/>
        </w:rPr>
        <w:t>T</w:t>
      </w:r>
      <w:r>
        <w:rPr>
          <w:rFonts w:hint="default" w:ascii="Times New Roman" w:hAnsi="Times New Roman" w:eastAsia="宋体" w:cs="Times New Roman"/>
          <w:sz w:val="24"/>
          <w:szCs w:val="24"/>
        </w:rPr>
        <w:t xml:space="preserve">he evolution of </w:t>
      </w:r>
      <w:r>
        <w:rPr>
          <w:rFonts w:hint="default" w:ascii="Times New Roman" w:hAnsi="Times New Roman" w:eastAsia="宋体" w:cs="Times New Roman"/>
          <w:sz w:val="24"/>
          <w:szCs w:val="24"/>
          <w:lang w:val="en-US" w:eastAsia="zh-CN"/>
        </w:rPr>
        <w:t xml:space="preserve">aristocratic / domestic </w:t>
      </w:r>
      <w:r>
        <w:rPr>
          <w:rFonts w:hint="default" w:ascii="Times New Roman" w:hAnsi="Times New Roman" w:eastAsia="宋体" w:cs="Times New Roman"/>
          <w:sz w:val="24"/>
          <w:szCs w:val="24"/>
        </w:rPr>
        <w:t xml:space="preserve">themes </w:t>
      </w:r>
      <w:r>
        <w:rPr>
          <w:rFonts w:hint="default" w:ascii="Times New Roman" w:hAnsi="Times New Roman" w:eastAsia="宋体" w:cs="Times New Roman"/>
          <w:sz w:val="24"/>
          <w:szCs w:val="24"/>
          <w:lang w:val="en-US" w:eastAsia="zh-CN"/>
        </w:rPr>
        <w:t>in drama</w:t>
      </w:r>
      <w:r>
        <w:rPr>
          <w:rFonts w:hint="default" w:ascii="Times New Roman" w:hAnsi="Times New Roman" w:eastAsia="宋体" w:cs="Times New Roman"/>
          <w:sz w:val="24"/>
          <w:szCs w:val="24"/>
        </w:rPr>
        <w:t xml:space="preserve"> titles was examined through an </w:t>
      </w:r>
      <w:r>
        <w:rPr>
          <w:rStyle w:val="10"/>
          <w:rFonts w:hint="default" w:ascii="Times New Roman" w:hAnsi="Times New Roman" w:eastAsia="宋体" w:cs="Times New Roman"/>
          <w:color w:val="000000"/>
          <w:sz w:val="24"/>
          <w:szCs w:val="24"/>
        </w:rPr>
        <w:t>iterative semi-supervised co-occurrence analysis</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with</w:t>
      </w:r>
      <w:r>
        <w:rPr>
          <w:rFonts w:hint="default" w:ascii="Times New Roman" w:hAnsi="Times New Roman" w:eastAsia="宋体" w:cs="Times New Roman"/>
          <w:sz w:val="24"/>
          <w:szCs w:val="24"/>
        </w:rPr>
        <w:t xml:space="preserve"> Python. </w:t>
      </w:r>
      <w:r>
        <w:rPr>
          <w:rStyle w:val="10"/>
          <w:rFonts w:hint="default" w:ascii="Times New Roman" w:hAnsi="Times New Roman" w:eastAsia="宋体" w:cs="Times New Roman"/>
          <w:b w:val="0"/>
          <w:bCs/>
          <w:color w:val="000000"/>
          <w:sz w:val="24"/>
          <w:szCs w:val="24"/>
        </w:rPr>
        <w:t xml:space="preserve">Initial textual scans </w:t>
      </w:r>
      <w:r>
        <w:rPr>
          <w:rStyle w:val="10"/>
          <w:rFonts w:hint="default" w:ascii="Times New Roman" w:hAnsi="Times New Roman" w:eastAsia="宋体" w:cs="Times New Roman"/>
          <w:b w:val="0"/>
          <w:bCs/>
          <w:color w:val="000000"/>
          <w:sz w:val="24"/>
          <w:szCs w:val="24"/>
          <w:lang w:val="en-US" w:eastAsia="zh-CN"/>
        </w:rPr>
        <w:t xml:space="preserve">showed </w:t>
      </w:r>
      <w:r>
        <w:rPr>
          <w:rFonts w:hint="default" w:ascii="Times New Roman" w:hAnsi="Times New Roman" w:eastAsia="宋体" w:cs="Times New Roman"/>
          <w:sz w:val="24"/>
          <w:szCs w:val="24"/>
        </w:rPr>
        <w:t>that the '</w:t>
      </w:r>
      <w:r>
        <w:rPr>
          <w:rFonts w:hint="default" w:ascii="Times New Roman" w:hAnsi="Times New Roman" w:eastAsia="宋体" w:cs="Times New Roman"/>
          <w:sz w:val="24"/>
          <w:szCs w:val="24"/>
          <w:lang w:val="en-US" w:eastAsia="zh-CN"/>
        </w:rPr>
        <w:t>Aristocrati</w:t>
      </w:r>
      <w:r>
        <w:rPr>
          <w:rFonts w:hint="default" w:ascii="Times New Roman" w:hAnsi="Times New Roman" w:eastAsia="宋体" w:cs="Times New Roman"/>
          <w:sz w:val="24"/>
          <w:szCs w:val="24"/>
        </w:rPr>
        <w:t xml:space="preserve">c' category in the 19th century was frequently linked to specific historical names (e.g., Henry, Mary), whereas the 'Private' category was strongly associated with words of emotion and tension (e.g., Secret, Fatal), in addition to traditional kinship terms. </w:t>
      </w:r>
      <w:r>
        <w:rPr>
          <w:rStyle w:val="10"/>
          <w:rFonts w:hint="default" w:ascii="Times New Roman" w:hAnsi="Times New Roman" w:eastAsia="宋体" w:cs="Times New Roman"/>
          <w:b w:val="0"/>
          <w:bCs/>
          <w:color w:val="000000"/>
          <w:sz w:val="24"/>
          <w:szCs w:val="24"/>
          <w:lang w:val="en-US" w:eastAsia="zh-CN"/>
        </w:rPr>
        <w:t>T</w:t>
      </w:r>
      <w:r>
        <w:rPr>
          <w:rStyle w:val="10"/>
          <w:rFonts w:hint="default" w:ascii="Times New Roman" w:hAnsi="Times New Roman" w:eastAsia="宋体" w:cs="Times New Roman"/>
          <w:b w:val="0"/>
          <w:bCs/>
          <w:color w:val="000000"/>
          <w:sz w:val="24"/>
          <w:szCs w:val="24"/>
        </w:rPr>
        <w:t xml:space="preserve">he </w:t>
      </w:r>
      <w:r>
        <w:rPr>
          <w:rStyle w:val="10"/>
          <w:rFonts w:hint="default" w:ascii="Times New Roman" w:hAnsi="Times New Roman" w:eastAsia="宋体" w:cs="Times New Roman"/>
          <w:color w:val="000000"/>
          <w:sz w:val="24"/>
          <w:szCs w:val="24"/>
        </w:rPr>
        <w:t>keyword dictionaries</w:t>
      </w:r>
      <w:r>
        <w:rPr>
          <w:rStyle w:val="10"/>
          <w:rFonts w:hint="default" w:ascii="Times New Roman" w:hAnsi="Times New Roman" w:eastAsia="宋体" w:cs="Times New Roman"/>
          <w:b w:val="0"/>
          <w:bCs/>
          <w:color w:val="000000"/>
          <w:sz w:val="24"/>
          <w:szCs w:val="24"/>
        </w:rPr>
        <w:t xml:space="preserve"> were</w:t>
      </w:r>
      <w:r>
        <w:rPr>
          <w:rStyle w:val="10"/>
          <w:rFonts w:hint="default" w:ascii="Times New Roman" w:hAnsi="Times New Roman" w:eastAsia="宋体" w:cs="Times New Roman"/>
          <w:color w:val="000000"/>
          <w:sz w:val="24"/>
          <w:szCs w:val="24"/>
        </w:rPr>
        <w:t xml:space="preserve"> dynamically expanded</w:t>
      </w:r>
      <w:r>
        <w:rPr>
          <w:rStyle w:val="10"/>
          <w:rFonts w:hint="default" w:ascii="Times New Roman" w:hAnsi="Times New Roman" w:eastAsia="宋体" w:cs="Times New Roman"/>
          <w:b w:val="0"/>
          <w:bCs/>
          <w:color w:val="000000"/>
          <w:sz w:val="24"/>
          <w:szCs w:val="24"/>
        </w:rPr>
        <w:t xml:space="preserve"> to incorporate these specific markers.</w:t>
      </w:r>
      <w:r>
        <w:rPr>
          <w:rFonts w:hint="default" w:ascii="Times New Roman" w:hAnsi="Times New Roman" w:eastAsia="宋体" w:cs="Times New Roman"/>
          <w:sz w:val="24"/>
          <w:szCs w:val="24"/>
        </w:rPr>
        <w:t xml:space="preserve"> </w:t>
      </w:r>
      <w:r>
        <w:rPr>
          <w:rFonts w:hint="default" w:ascii="Times New Roman" w:hAnsi="Times New Roman" w:eastAsia="宋体" w:cs="Times New Roman"/>
          <w:b w:val="0"/>
          <w:i w:val="0"/>
          <w:strike w:val="0"/>
          <w:color w:val="auto"/>
          <w:kern w:val="2"/>
          <w:sz w:val="24"/>
          <w:szCs w:val="24"/>
          <w:u w:val="none"/>
          <w:lang w:val="en-US" w:eastAsia="zh-CN" w:bidi="ar-SA"/>
        </w:rPr>
        <w:t>Three distinct phases in the evolution of titling conventions are revealed by the data.</w:t>
      </w:r>
    </w:p>
    <w:p w14:paraId="3E01DB66">
      <w:pPr>
        <w:keepNext w:val="0"/>
        <w:keepLines w:val="0"/>
        <w:pageBreakBefore w:val="0"/>
        <w:widowControl w:val="0"/>
        <w:kinsoku/>
        <w:wordWrap/>
        <w:overflowPunct/>
        <w:topLinePunct w:val="0"/>
        <w:autoSpaceDE/>
        <w:autoSpaceDN/>
        <w:bidi w:val="0"/>
        <w:adjustRightInd/>
        <w:snapToGrid/>
        <w:spacing w:line="240" w:lineRule="auto"/>
        <w:ind w:leftChars="0" w:firstLine="482" w:firstLineChars="200"/>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bCs/>
          <w:i w:val="0"/>
          <w:strike w:val="0"/>
          <w:color w:val="auto"/>
          <w:kern w:val="2"/>
          <w:sz w:val="24"/>
          <w:szCs w:val="24"/>
          <w:u w:val="none"/>
          <w:lang w:val="en-US" w:eastAsia="zh-CN" w:bidi="ar-SA"/>
        </w:rPr>
        <w:t>Mainly Aristocratic Dominance and Volatility</w:t>
      </w:r>
      <w:r>
        <w:rPr>
          <w:rFonts w:hint="default" w:ascii="Times New Roman" w:hAnsi="Times New Roman" w:eastAsia="宋体" w:cs="Times New Roman"/>
          <w:b w:val="0"/>
          <w:bCs/>
          <w:i w:val="0"/>
          <w:strike w:val="0"/>
          <w:color w:val="auto"/>
          <w:kern w:val="2"/>
          <w:sz w:val="24"/>
          <w:szCs w:val="24"/>
          <w:u w:val="none"/>
          <w:lang w:val="en-US" w:eastAsia="zh-CN" w:bidi="ar-SA"/>
        </w:rPr>
        <w:t xml:space="preserve"> (1660s–1730s). </w:t>
      </w:r>
      <w:r>
        <w:rPr>
          <w:rFonts w:hint="default" w:ascii="Times New Roman" w:hAnsi="Times New Roman" w:eastAsia="宋体" w:cs="Times New Roman"/>
          <w:sz w:val="24"/>
          <w:szCs w:val="24"/>
          <w:lang w:val="en-US" w:eastAsia="zh-CN"/>
        </w:rPr>
        <w:t>After</w:t>
      </w:r>
      <w:r>
        <w:rPr>
          <w:rFonts w:hint="default" w:ascii="Times New Roman" w:hAnsi="Times New Roman" w:eastAsia="宋体" w:cs="Times New Roman"/>
          <w:sz w:val="24"/>
          <w:szCs w:val="24"/>
        </w:rPr>
        <w:t xml:space="preserve"> the Restoration in 1660, titles related to aristocracy </w:t>
      </w:r>
      <w:r>
        <w:rPr>
          <w:rFonts w:hint="default" w:ascii="Times New Roman" w:hAnsi="Times New Roman" w:eastAsia="宋体" w:cs="Times New Roman"/>
          <w:b/>
          <w:bCs/>
          <w:sz w:val="24"/>
          <w:szCs w:val="24"/>
        </w:rPr>
        <w:t>surged</w:t>
      </w:r>
      <w:r>
        <w:rPr>
          <w:rFonts w:hint="default" w:ascii="Times New Roman" w:hAnsi="Times New Roman" w:eastAsia="宋体" w:cs="Times New Roman"/>
          <w:sz w:val="24"/>
          <w:szCs w:val="24"/>
          <w:lang w:val="en-US" w:eastAsia="zh-CN"/>
        </w:rPr>
        <w:t xml:space="preserve"> and then</w:t>
      </w:r>
      <w:r>
        <w:rPr>
          <w:rFonts w:hint="default" w:ascii="Times New Roman" w:hAnsi="Times New Roman" w:eastAsia="宋体" w:cs="Times New Roman"/>
          <w:sz w:val="24"/>
          <w:szCs w:val="24"/>
        </w:rPr>
        <w:t xml:space="preserve"> experienced a</w:t>
      </w:r>
      <w:r>
        <w:rPr>
          <w:rStyle w:val="10"/>
          <w:rFonts w:hint="default" w:ascii="Times New Roman" w:hAnsi="Times New Roman" w:eastAsia="宋体" w:cs="Times New Roman"/>
          <w:color w:val="000000"/>
          <w:sz w:val="24"/>
          <w:szCs w:val="24"/>
        </w:rPr>
        <w:t xml:space="preserve"> decline around 1700</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 xml:space="preserve">before </w:t>
      </w:r>
      <w:r>
        <w:rPr>
          <w:rFonts w:hint="default" w:ascii="Times New Roman" w:hAnsi="Times New Roman" w:eastAsia="宋体" w:cs="Times New Roman"/>
          <w:b/>
          <w:bCs/>
          <w:sz w:val="24"/>
          <w:szCs w:val="24"/>
        </w:rPr>
        <w:t>rebound</w:t>
      </w:r>
      <w:r>
        <w:rPr>
          <w:rFonts w:hint="default" w:ascii="Times New Roman" w:hAnsi="Times New Roman" w:eastAsia="宋体" w:cs="Times New Roman"/>
          <w:b w:val="0"/>
          <w:bCs w:val="0"/>
          <w:sz w:val="24"/>
          <w:szCs w:val="24"/>
        </w:rPr>
        <w:t>ing</w:t>
      </w:r>
      <w:r>
        <w:rPr>
          <w:rFonts w:hint="default" w:ascii="Times New Roman" w:hAnsi="Times New Roman" w:eastAsia="宋体" w:cs="Times New Roman"/>
          <w:sz w:val="24"/>
          <w:szCs w:val="24"/>
        </w:rPr>
        <w:t xml:space="preserve"> sharply. This </w:t>
      </w:r>
      <w:r>
        <w:rPr>
          <w:rFonts w:hint="default" w:ascii="Times New Roman" w:hAnsi="Times New Roman" w:eastAsia="宋体" w:cs="Times New Roman"/>
          <w:sz w:val="24"/>
          <w:szCs w:val="24"/>
          <w:lang w:val="en-US" w:eastAsia="zh-CN"/>
        </w:rPr>
        <w:t>resulted</w:t>
      </w:r>
      <w:r>
        <w:rPr>
          <w:rFonts w:hint="default" w:ascii="Times New Roman" w:hAnsi="Times New Roman" w:eastAsia="宋体" w:cs="Times New Roman"/>
          <w:sz w:val="24"/>
          <w:szCs w:val="24"/>
        </w:rPr>
        <w:t xml:space="preserve"> in a peak of </w:t>
      </w:r>
      <w:r>
        <w:rPr>
          <w:rStyle w:val="10"/>
          <w:rFonts w:hint="default" w:ascii="Times New Roman" w:hAnsi="Times New Roman" w:eastAsia="宋体" w:cs="Times New Roman"/>
          <w:b w:val="0"/>
          <w:bCs/>
          <w:color w:val="000000"/>
          <w:sz w:val="24"/>
          <w:szCs w:val="24"/>
          <w:lang w:val="en-US" w:eastAsia="zh-CN"/>
        </w:rPr>
        <w:t>around</w:t>
      </w:r>
      <w:r>
        <w:rPr>
          <w:rStyle w:val="10"/>
          <w:rFonts w:hint="default" w:ascii="Times New Roman" w:hAnsi="Times New Roman" w:eastAsia="宋体" w:cs="Times New Roman"/>
          <w:b w:val="0"/>
          <w:bCs/>
          <w:color w:val="000000"/>
          <w:sz w:val="24"/>
          <w:szCs w:val="24"/>
        </w:rPr>
        <w:t xml:space="preserve"> 24%</w:t>
      </w:r>
      <w:r>
        <w:rPr>
          <w:rFonts w:hint="default" w:ascii="Times New Roman" w:hAnsi="Times New Roman" w:eastAsia="宋体" w:cs="Times New Roman"/>
          <w:sz w:val="24"/>
          <w:szCs w:val="24"/>
        </w:rPr>
        <w:t xml:space="preserve"> in the 1720s, </w:t>
      </w:r>
      <w:r>
        <w:rPr>
          <w:rFonts w:hint="default" w:ascii="Times New Roman" w:hAnsi="Times New Roman" w:eastAsia="宋体" w:cs="Times New Roman"/>
          <w:sz w:val="24"/>
          <w:szCs w:val="24"/>
          <w:lang w:val="en-US" w:eastAsia="zh-CN"/>
        </w:rPr>
        <w:t>showing</w:t>
      </w:r>
      <w:r>
        <w:rPr>
          <w:rFonts w:hint="default" w:ascii="Times New Roman" w:hAnsi="Times New Roman" w:eastAsia="宋体" w:cs="Times New Roman"/>
          <w:sz w:val="24"/>
          <w:szCs w:val="24"/>
        </w:rPr>
        <w:t xml:space="preserve"> th</w:t>
      </w:r>
      <w:r>
        <w:rPr>
          <w:rFonts w:hint="default" w:ascii="Times New Roman" w:hAnsi="Times New Roman" w:eastAsia="宋体" w:cs="Times New Roman"/>
          <w:sz w:val="24"/>
          <w:szCs w:val="24"/>
          <w:lang w:val="en-US" w:eastAsia="zh-CN"/>
        </w:rPr>
        <w:t>e aristocratic</w:t>
      </w:r>
      <w:r>
        <w:rPr>
          <w:rFonts w:hint="default" w:ascii="Times New Roman" w:hAnsi="Times New Roman" w:eastAsia="宋体" w:cs="Times New Roman"/>
          <w:sz w:val="24"/>
          <w:szCs w:val="24"/>
        </w:rPr>
        <w:t xml:space="preserve"> discourse remained dominant but contested. Meanwhile, the </w:t>
      </w:r>
      <w:r>
        <w:rPr>
          <w:rFonts w:hint="default" w:ascii="Times New Roman" w:hAnsi="Times New Roman" w:eastAsia="宋体" w:cs="Times New Roman"/>
          <w:sz w:val="24"/>
          <w:szCs w:val="24"/>
          <w:lang w:val="en-US" w:eastAsia="zh-CN"/>
        </w:rPr>
        <w:t>p</w:t>
      </w:r>
      <w:r>
        <w:rPr>
          <w:rFonts w:hint="default" w:ascii="Times New Roman" w:hAnsi="Times New Roman" w:eastAsia="宋体" w:cs="Times New Roman"/>
          <w:sz w:val="24"/>
          <w:szCs w:val="24"/>
        </w:rPr>
        <w:t xml:space="preserve">rivate </w:t>
      </w:r>
      <w:r>
        <w:rPr>
          <w:rFonts w:hint="default"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rPr>
        <w:t xml:space="preserve">phere </w:t>
      </w:r>
      <w:r>
        <w:rPr>
          <w:rFonts w:hint="default" w:ascii="Times New Roman" w:hAnsi="Times New Roman" w:eastAsia="宋体" w:cs="Times New Roman"/>
          <w:sz w:val="24"/>
          <w:szCs w:val="24"/>
          <w:lang w:val="en-US" w:eastAsia="zh-CN"/>
        </w:rPr>
        <w:t xml:space="preserve">had </w:t>
      </w:r>
      <w:r>
        <w:rPr>
          <w:rFonts w:hint="default" w:ascii="Times New Roman" w:hAnsi="Times New Roman" w:eastAsia="宋体" w:cs="Times New Roman"/>
          <w:sz w:val="24"/>
          <w:szCs w:val="24"/>
        </w:rPr>
        <w:t>a more stable</w:t>
      </w:r>
      <w:r>
        <w:rPr>
          <w:rFonts w:hint="default" w:ascii="Times New Roman" w:hAnsi="Times New Roman" w:eastAsia="宋体" w:cs="Times New Roman"/>
          <w:sz w:val="24"/>
          <w:szCs w:val="24"/>
          <w:lang w:val="en-US" w:eastAsia="zh-CN"/>
        </w:rPr>
        <w:t xml:space="preserve"> increase</w:t>
      </w:r>
      <w:r>
        <w:rPr>
          <w:rFonts w:hint="default" w:ascii="Times New Roman" w:hAnsi="Times New Roman" w:eastAsia="宋体" w:cs="Times New Roman"/>
          <w:sz w:val="24"/>
          <w:szCs w:val="24"/>
        </w:rPr>
        <w:t xml:space="preserve"> during this period.</w:t>
      </w:r>
    </w:p>
    <w:p w14:paraId="29D2CB82">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2" w:firstLineChars="200"/>
        <w:jc w:val="both"/>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bCs w:val="0"/>
          <w:i w:val="0"/>
          <w:strike w:val="0"/>
          <w:color w:val="auto"/>
          <w:kern w:val="2"/>
          <w:sz w:val="24"/>
          <w:szCs w:val="24"/>
          <w:u w:val="none"/>
          <w:lang w:val="en-US" w:eastAsia="zh-CN" w:bidi="ar-SA"/>
        </w:rPr>
        <w:t>Domestic Dominance</w:t>
      </w:r>
      <w:r>
        <w:rPr>
          <w:rFonts w:hint="default" w:ascii="Times New Roman" w:hAnsi="Times New Roman" w:eastAsia="宋体" w:cs="Times New Roman"/>
          <w:b w:val="0"/>
          <w:bCs/>
          <w:i w:val="0"/>
          <w:strike w:val="0"/>
          <w:color w:val="auto"/>
          <w:kern w:val="2"/>
          <w:sz w:val="24"/>
          <w:szCs w:val="24"/>
          <w:u w:val="none"/>
          <w:lang w:val="en-US" w:eastAsia="zh-CN" w:bidi="ar-SA"/>
        </w:rPr>
        <w:t xml:space="preserve"> (1740s–1790s). A significant shift is observed after the Licensing Act of 1737. A </w:t>
      </w:r>
      <w:r>
        <w:rPr>
          <w:rFonts w:hint="default" w:ascii="Times New Roman" w:hAnsi="Times New Roman" w:eastAsia="宋体" w:cs="Times New Roman"/>
          <w:b/>
          <w:bCs w:val="0"/>
          <w:i w:val="0"/>
          <w:strike w:val="0"/>
          <w:color w:val="auto"/>
          <w:kern w:val="2"/>
          <w:sz w:val="24"/>
          <w:szCs w:val="24"/>
          <w:u w:val="none"/>
          <w:lang w:val="en-US" w:eastAsia="zh-CN" w:bidi="ar-SA"/>
        </w:rPr>
        <w:t>sharp decline</w:t>
      </w:r>
      <w:r>
        <w:rPr>
          <w:rFonts w:hint="default" w:ascii="Times New Roman" w:hAnsi="Times New Roman" w:eastAsia="宋体" w:cs="Times New Roman"/>
          <w:b w:val="0"/>
          <w:bCs/>
          <w:i w:val="0"/>
          <w:strike w:val="0"/>
          <w:color w:val="auto"/>
          <w:kern w:val="2"/>
          <w:sz w:val="24"/>
          <w:szCs w:val="24"/>
          <w:u w:val="none"/>
          <w:lang w:val="en-US" w:eastAsia="zh-CN" w:bidi="ar-SA"/>
        </w:rPr>
        <w:t xml:space="preserve"> is recorded in the aristocratic domain—dropping from around 32% to under 5% within two decades. In contrast, the private lexicon maintained at a stable level of 12% to 15%. The private domain </w:t>
      </w:r>
      <w:r>
        <w:rPr>
          <w:rFonts w:hint="default" w:ascii="Times New Roman" w:hAnsi="Times New Roman" w:eastAsia="宋体" w:cs="Times New Roman"/>
          <w:b/>
          <w:bCs w:val="0"/>
          <w:i w:val="0"/>
          <w:strike w:val="0"/>
          <w:color w:val="auto"/>
          <w:kern w:val="2"/>
          <w:sz w:val="24"/>
          <w:szCs w:val="24"/>
          <w:u w:val="none"/>
          <w:lang w:val="en-US" w:eastAsia="zh-CN" w:bidi="ar-SA"/>
        </w:rPr>
        <w:t>surpassed</w:t>
      </w:r>
      <w:r>
        <w:rPr>
          <w:rFonts w:hint="default" w:ascii="Times New Roman" w:hAnsi="Times New Roman" w:eastAsia="宋体" w:cs="Times New Roman"/>
          <w:b w:val="0"/>
          <w:bCs/>
          <w:i w:val="0"/>
          <w:strike w:val="0"/>
          <w:color w:val="auto"/>
          <w:kern w:val="2"/>
          <w:sz w:val="24"/>
          <w:szCs w:val="24"/>
          <w:u w:val="none"/>
          <w:lang w:val="en-US" w:eastAsia="zh-CN" w:bidi="ar-SA"/>
        </w:rPr>
        <w:t xml:space="preserve"> the aristocratic in this period.</w:t>
      </w:r>
    </w:p>
    <w:p w14:paraId="0A0FFEA0">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2" w:firstLineChars="200"/>
        <w:jc w:val="both"/>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bCs w:val="0"/>
          <w:i w:val="0"/>
          <w:strike w:val="0"/>
          <w:color w:val="auto"/>
          <w:kern w:val="2"/>
          <w:sz w:val="24"/>
          <w:szCs w:val="24"/>
          <w:u w:val="none"/>
          <w:lang w:val="en-US" w:eastAsia="zh-CN" w:bidi="ar-SA"/>
        </w:rPr>
        <w:t>Aristocratic Resurgence</w:t>
      </w:r>
      <w:r>
        <w:rPr>
          <w:rFonts w:hint="default" w:ascii="Times New Roman" w:hAnsi="Times New Roman" w:eastAsia="宋体" w:cs="Times New Roman"/>
          <w:b w:val="0"/>
          <w:bCs/>
          <w:i w:val="0"/>
          <w:strike w:val="0"/>
          <w:color w:val="auto"/>
          <w:kern w:val="2"/>
          <w:sz w:val="24"/>
          <w:szCs w:val="24"/>
          <w:u w:val="none"/>
          <w:lang w:val="en-US" w:eastAsia="zh-CN" w:bidi="ar-SA"/>
        </w:rPr>
        <w:t xml:space="preserve"> (1800s–1900). The 19th century was marked by a </w:t>
      </w:r>
      <w:r>
        <w:rPr>
          <w:rFonts w:hint="default" w:ascii="Times New Roman" w:hAnsi="Times New Roman" w:eastAsia="宋体" w:cs="Times New Roman"/>
          <w:b/>
          <w:bCs w:val="0"/>
          <w:i w:val="0"/>
          <w:strike w:val="0"/>
          <w:color w:val="auto"/>
          <w:kern w:val="2"/>
          <w:sz w:val="24"/>
          <w:szCs w:val="24"/>
          <w:u w:val="none"/>
          <w:lang w:val="en-US" w:eastAsia="zh-CN" w:bidi="ar-SA"/>
        </w:rPr>
        <w:t>resurgence in aristocratic terms</w:t>
      </w:r>
      <w:r>
        <w:rPr>
          <w:rFonts w:hint="default" w:ascii="Times New Roman" w:hAnsi="Times New Roman" w:eastAsia="宋体" w:cs="Times New Roman"/>
          <w:b w:val="0"/>
          <w:bCs/>
          <w:i w:val="0"/>
          <w:strike w:val="0"/>
          <w:color w:val="auto"/>
          <w:kern w:val="2"/>
          <w:sz w:val="24"/>
          <w:szCs w:val="24"/>
          <w:u w:val="none"/>
          <w:lang w:val="en-US" w:eastAsia="zh-CN" w:bidi="ar-SA"/>
        </w:rPr>
        <w:t>, forming a second peak in the 1830s (around 24%). Lexicon-wise, this 19th-century rise is driven by</w:t>
      </w:r>
      <w:r>
        <w:rPr>
          <w:rFonts w:hint="default" w:ascii="Times New Roman" w:hAnsi="Times New Roman" w:eastAsia="宋体" w:cs="Times New Roman"/>
          <w:b/>
          <w:bCs w:val="0"/>
          <w:i w:val="0"/>
          <w:strike w:val="0"/>
          <w:color w:val="auto"/>
          <w:kern w:val="2"/>
          <w:sz w:val="24"/>
          <w:szCs w:val="24"/>
          <w:u w:val="none"/>
          <w:lang w:val="en-US" w:eastAsia="zh-CN" w:bidi="ar-SA"/>
        </w:rPr>
        <w:t xml:space="preserve"> specific monarch names and historical terms, </w:t>
      </w:r>
      <w:r>
        <w:rPr>
          <w:rFonts w:hint="default" w:ascii="Times New Roman" w:hAnsi="Times New Roman" w:eastAsia="宋体" w:cs="Times New Roman"/>
          <w:b w:val="0"/>
          <w:bCs/>
          <w:i w:val="0"/>
          <w:strike w:val="0"/>
          <w:color w:val="auto"/>
          <w:kern w:val="2"/>
          <w:sz w:val="24"/>
          <w:szCs w:val="24"/>
          <w:u w:val="none"/>
          <w:lang w:val="en-US" w:eastAsia="zh-CN" w:bidi="ar-SA"/>
        </w:rPr>
        <w:t>which were identified in the coding process. By the final period, a downward slope occurred in both groups.</w:t>
      </w:r>
    </w:p>
    <w:p w14:paraId="22017CA1">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0" w:firstLineChars="0"/>
        <w:jc w:val="both"/>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val="0"/>
          <w:bCs/>
          <w:i w:val="0"/>
          <w:strike w:val="0"/>
          <w:color w:val="auto"/>
          <w:kern w:val="2"/>
          <w:sz w:val="24"/>
          <w:szCs w:val="24"/>
          <w:u w:val="none"/>
          <w:lang w:val="en-US" w:eastAsia="zh-CN" w:bidi="ar-SA"/>
        </w:rPr>
        <w:drawing>
          <wp:inline distT="0" distB="0" distL="114300" distR="114300">
            <wp:extent cx="4772660" cy="2386330"/>
            <wp:effectExtent l="0" t="0" r="8890" b="4445"/>
            <wp:docPr id="10" name="图片 10" descr="public_private_trend_v2_r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ublic_private_trend_v2_refined"/>
                    <pic:cNvPicPr>
                      <a:picLocks noChangeAspect="1"/>
                    </pic:cNvPicPr>
                  </pic:nvPicPr>
                  <pic:blipFill>
                    <a:blip r:embed="rId13"/>
                    <a:stretch>
                      <a:fillRect/>
                    </a:stretch>
                  </pic:blipFill>
                  <pic:spPr>
                    <a:xfrm>
                      <a:off x="0" y="0"/>
                      <a:ext cx="4772660" cy="2386330"/>
                    </a:xfrm>
                    <a:prstGeom prst="rect">
                      <a:avLst/>
                    </a:prstGeom>
                  </pic:spPr>
                </pic:pic>
              </a:graphicData>
            </a:graphic>
          </wp:inline>
        </w:drawing>
      </w:r>
    </w:p>
    <w:p w14:paraId="039060F6">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bCs/>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Figure 7. </w:t>
      </w:r>
      <w:r>
        <w:rPr>
          <w:rFonts w:hint="default" w:ascii="Times New Roman" w:hAnsi="Times New Roman" w:eastAsia="宋体" w:cs="Times New Roman"/>
          <w:b w:val="0"/>
          <w:bCs/>
          <w:i w:val="0"/>
          <w:strike w:val="0"/>
          <w:color w:val="auto"/>
          <w:kern w:val="2"/>
          <w:sz w:val="24"/>
          <w:szCs w:val="24"/>
          <w:u w:val="none"/>
          <w:lang w:val="en-US" w:eastAsia="zh-CN" w:bidi="ar-SA"/>
        </w:rPr>
        <w:t>The decline of the state and the rise of the family in British drama titles (1660-1900)</w:t>
      </w:r>
    </w:p>
    <w:p w14:paraId="29EAFBAC">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4. Discussion and limitation</w:t>
      </w:r>
    </w:p>
    <w:p w14:paraId="1142A08C">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Several limitations regarding data quality, the initial state of the dataset, and methodological assumptions must be acknowledged.</w:t>
      </w:r>
    </w:p>
    <w:p w14:paraId="4B8EB1BE">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4.1 Assessment of Dataset Suitability</w:t>
      </w:r>
    </w:p>
    <w:p w14:paraId="49181181">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The structure and cleaning status of the original dataset were found to be generally suitable for immediate quantitative analysis. However, additional manipulations were also required for achieving research objectives.</w:t>
      </w:r>
    </w:p>
    <w:p w14:paraId="10E9F111">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Structural Inconsistencies: The primary temporal field, p year, contained date ranges and non-numeric characters rather than single integers.</w:t>
      </w:r>
    </w:p>
    <w:p w14:paraId="76E4ACBA">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Need for Feature Engineering: Essential analytical categories, such as Decade_Label had to be generated to enable the aggregation required for the study.</w:t>
      </w:r>
    </w:p>
    <w:p w14:paraId="0D5E5DAD">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4.2 Data Bias</w:t>
      </w:r>
    </w:p>
    <w:p w14:paraId="15C2AA99">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 xml:space="preserve">It was observed during the data cleaning phase in OpenRefine that a significant portion of the dataset </w:t>
      </w:r>
      <w:r>
        <w:rPr>
          <w:rFonts w:hint="default" w:ascii="Times New Roman" w:hAnsi="Times New Roman" w:eastAsia="宋体" w:cs="Times New Roman"/>
          <w:b/>
          <w:bCs/>
          <w:i w:val="0"/>
          <w:strike w:val="0"/>
          <w:color w:val="auto"/>
          <w:kern w:val="2"/>
          <w:sz w:val="24"/>
          <w:szCs w:val="24"/>
          <w:u w:val="none"/>
          <w:lang w:val="en-US" w:eastAsia="zh-CN" w:bidi="ar-SA"/>
        </w:rPr>
        <w:t>lacked author attribution</w:t>
      </w:r>
      <w:r>
        <w:rPr>
          <w:rFonts w:hint="default" w:ascii="Times New Roman" w:hAnsi="Times New Roman" w:eastAsia="宋体" w:cs="Times New Roman"/>
          <w:b w:val="0"/>
          <w:i w:val="0"/>
          <w:strike w:val="0"/>
          <w:color w:val="auto"/>
          <w:kern w:val="2"/>
          <w:sz w:val="24"/>
          <w:szCs w:val="24"/>
          <w:u w:val="none"/>
          <w:lang w:val="en-US" w:eastAsia="zh-CN" w:bidi="ar-SA"/>
        </w:rPr>
        <w:t>. Although these entries were standardized into a distinct "Unknown" category (representing 14.28% of the corpus) or merged via the other author (n) column, the analysis of authorship trends is inherently biased towards established figures.</w:t>
      </w:r>
    </w:p>
    <w:p w14:paraId="60D0FCDB">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bCs w:val="0"/>
          <w:i w:val="0"/>
          <w:strike w:val="0"/>
          <w:color w:val="auto"/>
          <w:kern w:val="2"/>
          <w:sz w:val="24"/>
          <w:szCs w:val="24"/>
          <w:u w:val="none"/>
          <w:lang w:val="en-US" w:eastAsia="zh-CN" w:bidi="ar-SA"/>
        </w:rPr>
        <w:t xml:space="preserve">In </w:t>
      </w:r>
      <w:r>
        <w:rPr>
          <w:rFonts w:hint="default" w:ascii="Times New Roman" w:hAnsi="Times New Roman" w:eastAsia="宋体" w:cs="Times New Roman"/>
          <w:b w:val="0"/>
          <w:i w:val="0"/>
          <w:strike w:val="0"/>
          <w:color w:val="auto"/>
          <w:kern w:val="2"/>
          <w:sz w:val="24"/>
          <w:szCs w:val="24"/>
          <w:u w:val="none"/>
          <w:lang w:val="en-US" w:eastAsia="zh-CN" w:bidi="ar-SA"/>
        </w:rPr>
        <w:t xml:space="preserve">Spatial analysis, explicit geographic keywords were found in only 6.07% of the total dataset </w:t>
      </w:r>
      <m:oMath>
        <m:r>
          <m:rPr>
            <m:nor/>
          </m:rPr>
          <w:rPr>
            <w:rFonts w:hint="default" w:ascii="Times New Roman" w:hAnsi="Times New Roman" w:cs="Times New Roman"/>
            <w:i/>
          </w:rPr>
          <m:t>N</m:t>
        </m:r>
        <m:r>
          <m:rPr>
            <m:nor/>
            <m:sty m:val="p"/>
          </m:rPr>
          <w:rPr>
            <w:rFonts w:hint="default" w:ascii="Times New Roman" w:hAnsi="Times New Roman" w:cs="Times New Roman"/>
            <w:b w:val="0"/>
            <w:i w:val="0"/>
          </w:rPr>
          <m:t>=98</m:t>
        </m:r>
      </m:oMath>
      <w:r>
        <w:rPr>
          <w:rFonts w:hint="default" w:ascii="Times New Roman" w:hAnsi="Times New Roman" w:eastAsia="宋体" w:cs="Times New Roman"/>
          <w:b w:val="0"/>
          <w:i w:val="0"/>
          <w:strike w:val="0"/>
          <w:color w:val="auto"/>
          <w:kern w:val="2"/>
          <w:sz w:val="24"/>
          <w:szCs w:val="24"/>
          <w:u w:val="none"/>
          <w:lang w:val="en-US" w:eastAsia="zh-CN" w:bidi="ar-SA"/>
        </w:rPr>
        <w:t>. Due to this small sample size, percentage-based visualizations (100% stacked bar charts) are used to reflect the changes in raw counts. Therefore, sudden spikes in specific regions may be attributed to the publication of a single popular play or statistical noise.</w:t>
      </w:r>
    </w:p>
    <w:p w14:paraId="45EB6D85">
      <w:pPr>
        <w:keepNext w:val="0"/>
        <w:keepLines w:val="0"/>
        <w:pageBreakBefore w:val="0"/>
        <w:widowControl w:val="0"/>
        <w:kinsoku/>
        <w:wordWrap/>
        <w:overflowPunct/>
        <w:topLinePunct w:val="0"/>
        <w:autoSpaceDE/>
        <w:autoSpaceDN/>
        <w:bidi w:val="0"/>
        <w:adjustRightInd/>
        <w:snapToGrid/>
        <w:spacing w:before="0" w:after="0" w:line="240" w:lineRule="auto"/>
        <w:jc w:val="both"/>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4.3 Reflection on Quantitative Methods</w:t>
      </w:r>
    </w:p>
    <w:p w14:paraId="1DF9BEB7">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During the adjustments of codes, it is found that the interpretability of the results was found to be heavily dependent on the defined noise words. The removal of such words may have smoothed over subtle shifts in the charts.</w:t>
      </w:r>
    </w:p>
    <w:p w14:paraId="16C45BCE">
      <w:pPr>
        <w:keepNext w:val="0"/>
        <w:keepLines w:val="0"/>
        <w:pageBreakBefore w:val="0"/>
        <w:widowControl w:val="0"/>
        <w:kinsoku/>
        <w:wordWrap/>
        <w:overflowPunct/>
        <w:topLinePunct w:val="0"/>
        <w:autoSpaceDE/>
        <w:autoSpaceDN/>
        <w:bidi w:val="0"/>
        <w:adjustRightInd/>
        <w:snapToGrid/>
        <w:spacing w:before="0" w:after="0" w:line="240" w:lineRule="auto"/>
        <w:ind w:left="0" w:leftChars="0" w:firstLine="480" w:firstLineChars="200"/>
        <w:jc w:val="both"/>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For the classification of semantic themes, three approaches were tested, which shows the limitation of subjective categorization: Expert-Built Dictionaries, Frequency-Based Selection, and finally Semi-Supervised Co-occurrence (final method).</w:t>
      </w:r>
    </w:p>
    <w:sectPr>
      <w:headerReference r:id="rId4" w:type="default"/>
      <w:footerReference r:id="rId5" w:type="default"/>
      <w:pgSz w:w="11906" w:h="16838"/>
      <w:pgMar w:top="1270" w:right="1253" w:bottom="1270" w:left="1253"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
    <w:p>
      <w:r>
        <w:separator/>
      </w:r>
    </w:p>
  </w:endnote>
  <w:endnote w:type="continuationSeparator" w:id="7">
    <w:p>
      <w:r>
        <w:continuationSeparator/>
      </w:r>
    </w:p>
  </w:endnote>
  <w:endnote w:id="0">
    <w:p w14:paraId="1CA28AB2">
      <w:pPr>
        <w:pStyle w:val="3"/>
        <w:snapToGrid w:val="0"/>
        <w:rPr>
          <w:rFonts w:hint="default" w:ascii="Times New Roman" w:hAnsi="Times New Roman" w:cs="Times New Roman"/>
          <w:sz w:val="18"/>
          <w:szCs w:val="18"/>
        </w:rPr>
      </w:pPr>
      <w:r>
        <w:rPr>
          <w:rFonts w:hint="default" w:ascii="Times New Roman" w:hAnsi="Times New Roman" w:cs="Times New Roman"/>
          <w:sz w:val="18"/>
          <w:szCs w:val="18"/>
        </w:rPr>
        <w:endnoteRef/>
      </w:r>
      <w:r>
        <w:rPr>
          <w:rFonts w:hint="default" w:ascii="Times New Roman" w:hAnsi="Times New Roman" w:cs="Times New Roman"/>
          <w:sz w:val="18"/>
          <w:szCs w:val="18"/>
        </w:rPr>
        <w:t xml:space="preserve"> The 1737 Licensing Act and Its Impact</w:t>
      </w:r>
      <w:r>
        <w:rPr>
          <w:rFonts w:hint="eastAsia" w:ascii="Times New Roman" w:hAnsi="Times New Roman" w:cs="Times New Roman"/>
          <w:sz w:val="18"/>
          <w:szCs w:val="18"/>
          <w:lang w:val="en-US" w:eastAsia="zh-CN"/>
        </w:rPr>
        <w:t xml:space="preserve">. </w:t>
      </w:r>
      <w:r>
        <w:rPr>
          <w:rFonts w:hint="eastAsia" w:ascii="Times New Roman" w:hAnsi="Times New Roman" w:cs="Times New Roman"/>
          <w:sz w:val="18"/>
          <w:szCs w:val="18"/>
        </w:rPr>
        <w:t>https://doi.org/10.1093/oxfordhb/9780199600304.013.015</w:t>
      </w:r>
    </w:p>
  </w:endnote>
  <w:endnote w:id="1">
    <w:p w14:paraId="3DAF42B5">
      <w:pPr>
        <w:pStyle w:val="3"/>
        <w:snapToGrid w:val="0"/>
        <w:rPr>
          <w:rFonts w:hint="eastAsia" w:ascii="Times New Roman" w:hAnsi="Times New Roman" w:cs="Times New Roman"/>
          <w:sz w:val="18"/>
          <w:szCs w:val="18"/>
          <w:lang w:val="en-US" w:eastAsia="zh-CN"/>
        </w:rPr>
      </w:pPr>
      <w:r>
        <w:rPr>
          <w:rFonts w:hint="eastAsia" w:ascii="Times New Roman" w:hAnsi="Times New Roman" w:cs="Times New Roman"/>
          <w:sz w:val="18"/>
          <w:szCs w:val="18"/>
        </w:rPr>
        <w:endnoteRef/>
      </w:r>
      <w:r>
        <w:rPr>
          <w:rFonts w:hint="eastAsia" w:ascii="Times New Roman" w:hAnsi="Times New Roman" w:cs="Times New Roman"/>
          <w:sz w:val="18"/>
          <w:szCs w:val="18"/>
          <w:lang w:val="en-US" w:eastAsia="zh-CN"/>
        </w:rPr>
        <w:t xml:space="preserve"> </w:t>
      </w:r>
      <w:r>
        <w:rPr>
          <w:rFonts w:hint="default" w:ascii="Times New Roman" w:hAnsi="Times New Roman" w:cs="Times New Roman"/>
          <w:sz w:val="18"/>
          <w:szCs w:val="18"/>
        </w:rPr>
        <w:t>The Victorian Era in English Literature – A Complete Guide to Literature, Culture, and Life</w:t>
      </w:r>
      <w:r>
        <w:rPr>
          <w:rFonts w:hint="eastAsia" w:ascii="Times New Roman" w:hAnsi="Times New Roman" w:cs="Times New Roman"/>
          <w:sz w:val="18"/>
          <w:szCs w:val="18"/>
          <w:lang w:val="en-US" w:eastAsia="zh-CN"/>
        </w:rPr>
        <w:t>.</w:t>
      </w:r>
    </w:p>
    <w:p w14:paraId="5215712D">
      <w:pPr>
        <w:pStyle w:val="3"/>
        <w:snapToGrid w:val="0"/>
        <w:rPr>
          <w:rFonts w:hint="eastAsia" w:ascii="Times New Roman" w:hAnsi="Times New Roman" w:cs="Times New Roman"/>
          <w:sz w:val="18"/>
          <w:szCs w:val="18"/>
        </w:rPr>
      </w:pPr>
      <w:r>
        <w:rPr>
          <w:rFonts w:hint="eastAsia" w:ascii="Times New Roman" w:hAnsi="Times New Roman" w:cs="Times New Roman"/>
          <w:sz w:val="18"/>
          <w:szCs w:val="18"/>
        </w:rPr>
        <w:t xml:space="preserve"> https://engliteratureguru.com/the-victorian-era-literature-features-writers/</w:t>
      </w:r>
    </w:p>
  </w:endnote>
  <w:endnote w:id="2">
    <w:p w14:paraId="48BBA286">
      <w:pPr>
        <w:pStyle w:val="3"/>
        <w:snapToGrid w:val="0"/>
        <w:rPr>
          <w:rFonts w:hint="default" w:ascii="Times New Roman" w:hAnsi="Times New Roman" w:cs="Times New Roman"/>
          <w:sz w:val="18"/>
          <w:szCs w:val="18"/>
        </w:rPr>
      </w:pPr>
      <w:r>
        <w:rPr>
          <w:rFonts w:hint="default" w:ascii="Times New Roman" w:hAnsi="Times New Roman" w:cs="Times New Roman"/>
          <w:sz w:val="18"/>
          <w:szCs w:val="18"/>
        </w:rPr>
        <w:endnoteRef/>
      </w:r>
      <w:r>
        <w:rPr>
          <w:rFonts w:hint="default" w:ascii="Times New Roman" w:hAnsi="Times New Roman" w:cs="Times New Roman"/>
          <w:sz w:val="18"/>
          <w:szCs w:val="18"/>
        </w:rPr>
        <w:t xml:space="preserve"> The Statute of Anne; April 10, 1710</w:t>
      </w:r>
      <w:r>
        <w:rPr>
          <w:rFonts w:hint="default" w:ascii="Times New Roman" w:hAnsi="Times New Roman" w:cs="Times New Roman"/>
          <w:sz w:val="18"/>
          <w:szCs w:val="18"/>
          <w:lang w:val="en-US" w:eastAsia="zh-CN"/>
        </w:rPr>
        <w:t xml:space="preserve">. </w:t>
      </w:r>
      <w:r>
        <w:rPr>
          <w:rFonts w:hint="default" w:ascii="Times New Roman" w:hAnsi="Times New Roman" w:cs="Times New Roman"/>
          <w:sz w:val="18"/>
          <w:szCs w:val="18"/>
        </w:rPr>
        <w:t>https://avalon.law.yale.edu/18th_century/anne_1710.asp</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182F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BDFC8">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0BDFC8">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8F697C">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2CF3EA"/>
    <w:multiLevelType w:val="singleLevel"/>
    <w:tmpl w:val="332CF3EA"/>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endnotePr>
    <w:endnote w:id="6"/>
    <w:endnote w:id="7"/>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8E177D"/>
    <w:rsid w:val="1E1D17F8"/>
    <w:rsid w:val="29067DC6"/>
    <w:rsid w:val="2B8E177D"/>
    <w:rsid w:val="52B872BF"/>
    <w:rsid w:val="5F491372"/>
    <w:rsid w:val="63DA6B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3">
    <w:name w:val="endnote text"/>
    <w:basedOn w:val="1"/>
    <w:qFormat/>
    <w:uiPriority w:val="0"/>
    <w:pPr>
      <w:snapToGrid w:val="0"/>
      <w:jc w:val="left"/>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ndnote reference"/>
    <w:basedOn w:val="9"/>
    <w:qFormat/>
    <w:uiPriority w:val="0"/>
    <w:rPr>
      <w:vertAlign w:val="superscript"/>
    </w:rPr>
  </w:style>
  <w:style w:type="character" w:styleId="12">
    <w:name w:val="FollowedHyperlink"/>
    <w:basedOn w:val="9"/>
    <w:uiPriority w:val="0"/>
    <w:rPr>
      <w:color w:val="800080"/>
      <w:u w:val="single"/>
    </w:rPr>
  </w:style>
  <w:style w:type="character" w:styleId="13">
    <w:name w:val="Hyperlink"/>
    <w:basedOn w:val="9"/>
    <w:qFormat/>
    <w:uiPriority w:val="0"/>
    <w:rPr>
      <w:color w:val="0000FF"/>
      <w:u w:val="single"/>
    </w:rPr>
  </w:style>
  <w:style w:type="character" w:styleId="14">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1972</Words>
  <Characters>11049</Characters>
  <Lines>0</Lines>
  <Paragraphs>0</Paragraphs>
  <TotalTime>192</TotalTime>
  <ScaleCrop>false</ScaleCrop>
  <LinksUpToDate>false</LinksUpToDate>
  <CharactersWithSpaces>12969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2026-01-01T16:03:00Z</dcterms:created>
  <dc:creator>Clara_L</dc:creator>
  <cp:lastModifiedBy>Clara_L</cp:lastModifiedBy>
  <dcterms:modified xsi:type="dcterms:W3CDTF">2026-01-01T22:14:26Z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34D26A5DFAB8418E9248F8F40FB52347_11</vt:lpwstr>
  </property>
  <property fmtid="{D5CDD505-2E9C-101B-9397-08002B2CF9AE}" pid="4" name="KSOTemplateDocerSaveRecord">
    <vt:lpwstr>eyJoZGlkIjoiMDZmZDMxYjM0NGQ4YzQ2MmRiYzY3ZTBiY2Q1OGRiNTQiLCJ1c2VySWQiOiIxMzgxOTg1NDk2In0=</vt:lpwstr>
  </property>
</Properties>
</file>