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台灣高息 ETF 指數調整的反向效應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事件研究 × 預測模型 × 策略可行性檢驗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7F7F7F"/>
          <w:sz w:val="22"/>
          <w:szCs w:val="22"/>
        </w:rPr>
        <w:t xml:space="preserve">0056 × 00713 × 00919 | 38 個調整事件 | 2017–2025</w:t>
      </w:r>
    </w:p>
    <w:p>
      <w:pPr>
        <w:pBdr>
          <w:top w:val="single" w:color="2E75B6" w:sz="4"/>
        </w:pBdr>
        <w:spacing w:after="200" w:before="0"/>
        <w:jc w:val="center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劉晏禎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7F7F7F"/>
          <w:sz w:val="22"/>
          <w:szCs w:val="22"/>
        </w:rPr>
        <w:t xml:space="preserve">應徵優式資本量化交易職位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7F7F7F"/>
          <w:sz w:val="22"/>
          <w:szCs w:val="22"/>
        </w:rPr>
        <w:t xml:space="preserve">2026 年 5 月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 w:val="false"/>
        </w:trPr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38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303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36"/>
                <w:szCs w:val="36"/>
              </w:rPr>
              <w:t xml:space="preserve">−4.20%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36"/>
                <w:szCs w:val="36"/>
              </w:rPr>
              <w:t xml:space="preserve">50%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F7F7F"/>
                <w:sz w:val="18"/>
                <w:szCs w:val="18"/>
              </w:rPr>
              <w:t xml:space="preserve">指數調整事件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F7F7F"/>
                <w:sz w:val="18"/>
                <w:szCs w:val="18"/>
              </w:rPr>
              <w:t xml:space="preserve">股票事件配對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F7F7F"/>
                <w:sz w:val="18"/>
                <w:szCs w:val="18"/>
              </w:rPr>
              <w:t xml:space="preserve">生效後 30 日 CAR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F7F7F"/>
                <w:sz w:val="18"/>
                <w:szCs w:val="18"/>
              </w:rPr>
              <w:t xml:space="preserve">00919 Top-10 Precision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一、研究概況</w:t>
      </w:r>
    </w:p>
    <w:p>
      <w:pPr>
        <w:spacing w:after="60" w:before="60" w:line="288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本研究以台灣三個高股息 ETF（0056、00713、00919）的指數成分股調整事件為研究對象，系統性分析公告前後的異常報酬型態，並建構預測模型與策略可行性評估。研究從 2022 年 00919 單一 ETF 出發，最終擴展至涵蓋 2017–2025 年共 38 個調整事件、303 個股票事件配對。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研究方法</w:t>
      </w:r>
    </w:p>
    <w:p>
      <w:pPr>
        <w:spacing w:after="60" w:before="60" w:line="288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事件研究法（market-adjusted AR/CAR）→ 橫斷面迴歸分析 → 機器學習預測模型 → 假設策略回測 → 成本敏感度分析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研究進度總覽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3200"/>
        <w:gridCol w:w="1000"/>
      </w:tblGrid>
      <w:tr>
        <w:trPr>
          <w:tblHeader/>
        </w:trPr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階段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核心結果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狀態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Stage 2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00919 事件研究（7 事件）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[+1,+31] CAR = −7.42%，t=−5.54***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Stage 3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橫斷面迴歸（6 特徵）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CAR_post_30 R²=0.312；3 變數顯著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Stage 4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預測模型（00919）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XGB Top-10=50%（基準 9.53%）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Stage 5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假設策略回測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OOS 無成本 +0.46%；加費用全負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Stage 6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成本敏感度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Break-even 31.6 bps &lt; 實際 58.5 bps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M1-M4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多 ETF 擴展（3 ETF，38 事件）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[+1,+31] −4.20%***；LR Top-10=22%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資料來源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價格資料：FinMind API（TaiwanStockPrice）— 234 檔個股、日線、2016–2026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事件清單：臺灣指數公司（TIP）公告（00713、00919）+ FTSE Russell 公告（0056）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財務資料：FinMind TaiwanStockPER（殖利率）、TaiwanStockShareholding（股本）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指數基準：加權股價指數（TAIEX）日收盤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AR 計算：市場調整模型 — AR_t = r_stock_t − r_TAIEX_t（隱含 β=1）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二、主要發現：CAR 反向效應跨三個 ETF 成立</w:t>
      </w:r>
    </w:p>
    <w:p>
      <w:pPr>
        <w:pBdr>
          <w:left w:val="single" w:color="2E75B6" w:sz="12" w:space="8"/>
        </w:pBdr>
        <w:shd w:fill="D5E8F0" w:val="clear"/>
        <w:spacing w:after="80" w:before="80" w:line="276"/>
        <w:ind w:left="240" w:right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核心結論：公告前正向 run-up → 生效後持續反轉，在 38 個事件、303 個股票事件配對中全部方向一致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多 ETF 整體結果（38 事件，N=303）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"/>
        <w:gridCol w:w="1200"/>
        <w:gridCol w:w="1200"/>
        <w:gridCol w:w="1200"/>
        <w:gridCol w:w="800"/>
      </w:tblGrid>
      <w:tr>
        <w:trPr>
          <w:tblHeader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視窗（交易日）</w:t>
            </w:r>
          </w:p>
        </w:tc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 CAR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t-stat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p-value</w:t>
            </w:r>
          </w:p>
        </w:tc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顯著性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[−30, 0]　公告前 30 日</w:t>
            </w:r>
          </w:p>
        </w:tc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303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+2.19%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+4.164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&lt;0.0001</w:t>
            </w:r>
          </w:p>
        </w:tc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***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[−5, 0]　　公告前一週</w:t>
            </w:r>
          </w:p>
        </w:tc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303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+1.03%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+4.293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&lt;0.0001</w:t>
            </w:r>
          </w:p>
        </w:tc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***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[0, +5]　　公告後一週</w:t>
            </w:r>
          </w:p>
        </w:tc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302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−0.02%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−0.061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0.9513</w:t>
            </w:r>
          </w:p>
        </w:tc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[+1, +11]　生效後 10 日</w:t>
            </w:r>
          </w:p>
        </w:tc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303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−0.62%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−1.582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0.1148</w:t>
            </w:r>
          </w:p>
        </w:tc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[+1, +31]　生效後 30 日</w:t>
            </w:r>
          </w:p>
        </w:tc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303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−4.20%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−7.632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&lt;0.0001</w:t>
            </w:r>
          </w:p>
        </w:tc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***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80"/>
        <w:jc w:val="center"/>
      </w:pPr>
      <w:r>
        <w:drawing>
          <wp:inline distT="0" distB="0" distL="0" distR="0">
            <wp:extent cx="6858000" cy="4572000"/>
            <wp:effectExtent t="0" r="0" b="0" l="0"/>
            <wp:docPr id="1" name="car_multi_etf_added_stocks.png" descr="car_multi_etf_added_stocks.png" title="car_multi_etf_added_stock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7F7F7F"/>
          <w:sz w:val="18"/>
          <w:szCs w:val="18"/>
        </w:rPr>
        <w:t xml:space="preserve">圖 1：多 ETF 四格 CAR 圖（整體 N=303 + 各 ETF 子集）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各 ETF 子集對比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600"/>
        <w:gridCol w:w="1100"/>
        <w:gridCol w:w="600"/>
        <w:gridCol w:w="1100"/>
        <w:gridCol w:w="600"/>
      </w:tblGrid>
      <w:tr>
        <w:trPr>
          <w:tblHeader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視窗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0056（N=61）</w:t>
            </w:r>
          </w:p>
        </w:tc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</w:t>
            </w:r>
          </w:p>
        </w:tc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00713（N=179）</w:t>
            </w:r>
          </w:p>
        </w:tc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</w:t>
            </w:r>
          </w:p>
        </w:tc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00919（N=63）</w:t>
            </w:r>
          </w:p>
        </w:tc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[−30, 0]　公告前 30 日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+1.75%</w:t>
            </w:r>
          </w:p>
        </w:tc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+1.33%</w:t>
            </w:r>
          </w:p>
        </w:tc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**</w:t>
            </w:r>
          </w:p>
        </w:tc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+5.05%</w:t>
            </w:r>
          </w:p>
        </w:tc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***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[−5, 0]　　公告前一週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+0.35%</w:t>
            </w:r>
          </w:p>
        </w:tc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+0.92%</w:t>
            </w:r>
          </w:p>
        </w:tc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***</w:t>
            </w:r>
          </w:p>
        </w:tc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+2.01%</w:t>
            </w:r>
          </w:p>
        </w:tc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***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[0, +5]　　公告後一週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+1.05%</w:t>
            </w:r>
          </w:p>
        </w:tc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**</w:t>
            </w:r>
          </w:p>
        </w:tc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+0.74%</w:t>
            </w:r>
          </w:p>
        </w:tc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**</w:t>
            </w:r>
          </w:p>
        </w:tc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−3.20%</w:t>
            </w:r>
          </w:p>
        </w:tc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***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[+1, +11]　生效後 10 日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+1.99%</w:t>
            </w:r>
          </w:p>
        </w:tc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**</w:t>
            </w:r>
          </w:p>
        </w:tc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−0.43%</w:t>
            </w:r>
          </w:p>
        </w:tc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−3.71%</w:t>
            </w:r>
          </w:p>
        </w:tc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***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[+1, +31]　生效後 30 日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−2.35%</w:t>
            </w:r>
          </w:p>
        </w:tc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**</w:t>
            </w:r>
          </w:p>
        </w:tc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−3.39%</w:t>
            </w:r>
          </w:p>
        </w:tc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***</w:t>
            </w:r>
          </w:p>
        </w:tc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−8.30%</w:t>
            </w:r>
          </w:p>
        </w:tc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***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left w:val="single" w:color="2E75B6" w:sz="12" w:space="8"/>
        </w:pBdr>
        <w:shd w:fill="D5E8F0" w:val="clear"/>
        <w:spacing w:after="80" w:before="80" w:line="276"/>
        <w:ind w:left="240" w:right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0056 公告後正向（+1.05%~+1.99%）vs 00919 公告後負向（−3.20%）形成自然對照——與「規則透明度」假說完全一致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三、00919 單一 ETF：最強訊號來源</w:t>
      </w:r>
    </w:p>
    <w:p>
      <w:pPr>
        <w:pBdr>
          <w:left w:val="single" w:color="2E75B6" w:sz="12" w:space="8"/>
        </w:pBdr>
        <w:shd w:fill="D5E8F0" w:val="clear"/>
        <w:spacing w:after="80" w:before="80" w:line="276"/>
        <w:ind w:left="240" w:right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00919 子集：[−30,0] = +5.05%***、[+1,+31] = −8.30%***（t=−5.83，p&lt;0.001）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00919 統計結果（N=63）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300"/>
        <w:gridCol w:w="1300"/>
        <w:gridCol w:w="1300"/>
        <w:gridCol w:w="700"/>
      </w:tblGrid>
      <w:tr>
        <w:trPr>
          <w:tblHeader/>
        </w:trP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視窗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 CAR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t-stat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p-value</w:t>
            </w:r>
          </w:p>
        </w:tc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顯著性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[−30, 0]　公告前 30 日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+5.05%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+4.12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&lt;0.001</w:t>
            </w:r>
          </w:p>
        </w:tc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***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[−5, 0]　　公告前一週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+2.01%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+3.46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&lt;0.001</w:t>
            </w:r>
          </w:p>
        </w:tc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***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[0, +5]　　公告後一週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−3.20%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−3.75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&lt;0.001</w:t>
            </w:r>
          </w:p>
        </w:tc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***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[+1, +31]　生效後 30 日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−8.30%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−5.83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&lt;0.001</w:t>
            </w:r>
          </w:p>
        </w:tc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***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80"/>
        <w:jc w:val="center"/>
      </w:pPr>
      <w:r>
        <w:drawing>
          <wp:inline distT="0" distB="0" distL="0" distR="0">
            <wp:extent cx="6477000" cy="3810000"/>
            <wp:effectExtent t="0" r="0" b="0" l="0"/>
            <wp:docPr id="1" name="car_added_stocks_real_v2.png" descr="car_added_stocks_real_v2.png" title="car_added_stocks_real_v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7F7F7F"/>
          <w:sz w:val="18"/>
          <w:szCs w:val="18"/>
        </w:rPr>
        <w:t xml:space="preserve">圖 2：00919 單一 ETF 調入股 CAR 曲線（7 個事件，v2 清理後）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與 Stage 2（00919 單一研究）的直接對比</w:t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800"/>
        <w:gridCol w:w="1900"/>
        <w:gridCol w:w="900"/>
      </w:tblGrid>
      <w:tr>
        <w:trPr>
          <w:tblHeader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視窗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 2 CAR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Multi-ETF 整體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Multi-ETF 00919 子集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方向一致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[−30, 0]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+4.86%***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+2.19%***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+5.05%***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[−5, 0]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+2.38%***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+1.03%***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+2.01%***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[0, +5]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−2.37%***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−0.02%（—）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−3.20%***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[+1, +31]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−7.42%***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−4.20%***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−8.30%***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 w:line="288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全部 5 個視窗方向一致，Stage 2 結論具跨 ETF 外部效度。多 ETF 版本 N=303 vs Stage 2 N=71，統計功效從 t=−5.54 提升至 t=−7.63。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四、機制解釋：規則透明度 ↔ 前移強度</w:t>
      </w:r>
    </w:p>
    <w:p>
      <w:pPr>
        <w:pBdr>
          <w:left w:val="single" w:color="2E75B6" w:sz="12" w:space="8"/>
        </w:pBdr>
        <w:shd w:fill="D5E8F0" w:val="clear"/>
        <w:spacing w:after="80" w:before="80" w:line="276"/>
        <w:ind w:left="240" w:right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核心論斷：指數規則越透明量化，市場可以提前預測誰會被納入，因此布局集中在公告前，公告後反而沒有新資訊可以驅動上漲，獲利了結導致反轉。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台灣高息 ETF vs 美股 S&amp;P 500：四個結構性差異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000"/>
      </w:tblGrid>
      <w:tr>
        <w:trPr>
          <w:tblHeader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差異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美股（S&amp;P 500）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台灣高息 ETF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選股規則透明度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部分主觀（委員會決定）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公開確定（股息率排名 + 市值門檻）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投資人結構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機構為主（80%+）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散戶為主（台股散戶約 60%）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高股息因子動態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長期 premium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被標記後短期均值回歸壓力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ETF 配息頻率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多為半年 / 年配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季配（每季追逐高殖利率名單）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 w:line="288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→ 結果：預期買盤集中在公告前，公告後無新增資訊驅動上漲，加上均值回歸，形成反轉。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跨 ETF 異質性：規則透明度的內部對照</w:t>
      </w:r>
    </w:p>
    <w:p>
      <w:pPr>
        <w:spacing w:after="60" w:before="60" w:line="288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如果「規則透明 → 可預測 → 公告前布局 → 反轉」的因果鏈成立，則規則越透明的 ETF 前移應越強，公告後反應也應越即時。多 ETF 數據完美支持這個預測：</w:t>
      </w:r>
    </w:p>
    <w:p>
      <w:pPr>
        <w:spacing w:after="0" w:before="6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800"/>
        <w:gridCol w:w="1000"/>
        <w:gridCol w:w="1200"/>
        <w:gridCol w:w="1200"/>
        <w:gridCol w:w="1400"/>
      </w:tblGrid>
      <w:tr>
        <w:trPr>
          <w:tblHeader/>
        </w:trP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ETF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規則制定方</w:t>
            </w:r>
          </w:p>
        </w:tc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透明度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預測 Top-10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[−30,0] 前移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[0,+5] 公告後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型態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00919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TIP（台灣指數公司）</w:t>
            </w:r>
          </w:p>
        </w:tc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高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15.0%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+5.05%***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−3.20%***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強前移 → 即時反轉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00713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TIP（台灣指數公司）</w:t>
            </w:r>
          </w:p>
        </w:tc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高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37.5%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+1.33%**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+0.74%**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中等前移 → 遲滯反轉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0056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FTSE Russell（外資）</w:t>
            </w:r>
          </w:p>
        </w:tc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低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5.0%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+1.75%（—）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+1.05%**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無前移 → 公告後上漲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left w:val="single" w:color="2E75B6" w:sz="12" w:space="8"/>
        </w:pBdr>
        <w:shd w:fill="D5E8F0" w:val="clear"/>
        <w:spacing w:after="80" w:before="80" w:line="276"/>
        <w:ind w:left="240" w:right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0056 是關鍵反面對照組：FTSE Russell 規則含「外資可買性」等不可觀測條件，市場無法事前預測（Top-10=5%），公告本身仍有資訊含量，故公告後出現正向反應而非反轉。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機制一致性：兩個研究章節相互支撐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600"/>
        <w:gridCol w:w="2400"/>
      </w:tblGrid>
      <w:tr>
        <w:trPr>
          <w:tblHeader/>
        </w:trP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ETF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事件研究（§2）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預測模型（§5）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機制連結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00919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[−30,0]=+5.05%***（強前移）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Top-10=50%（單一）/ 15%（多 ETF）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可預測性 → 提前布局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00713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[−30,0]=+1.33%**（中等前移）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Top-10=37.5%（最強）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量化規則 → 高精度預測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0056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[−30,0]=+1.75%（不顯著）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Top-10=5%（接近隨機）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不透明規則 → 無前移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五、預測模型：殖利率排名為跨 ETF 最強信號</w:t>
      </w:r>
    </w:p>
    <w:p>
      <w:pPr>
        <w:pBdr>
          <w:left w:val="single" w:color="2E75B6" w:sz="12" w:space="8"/>
        </w:pBdr>
        <w:shd w:fill="D5E8F0" w:val="clear"/>
        <w:spacing w:after="80" w:before="80" w:line="276"/>
        <w:ind w:left="240" w:right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00919 單一 ETF：XGB Top-10 = 50%（基準 9.53%，+40.5pp）；多 ETF 整體：LR Top-10 = 22%（基準 6.09%，+15.9pp）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00919 單一 ETF（深度驗證，Train=Events 2-4，Test=Events 5-7）</w:t>
      </w: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00"/>
        <w:gridCol w:w="1100"/>
        <w:gridCol w:w="11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模型</w:t>
            </w:r>
          </w:p>
        </w:tc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Top-5</w:t>
            </w:r>
          </w:p>
        </w:tc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Top-10</w:t>
            </w:r>
          </w:p>
        </w:tc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AUC-ROC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 基準（9.53%）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隨機基準</w:t>
            </w:r>
          </w:p>
        </w:tc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9.5%</w:t>
            </w:r>
          </w:p>
        </w:tc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9.5%</w:t>
            </w:r>
          </w:p>
        </w:tc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0.500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LR</w:t>
            </w:r>
          </w:p>
        </w:tc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20%</w:t>
            </w:r>
          </w:p>
        </w:tc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30%</w:t>
            </w:r>
          </w:p>
        </w:tc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0.776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+20.5pp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RF</w:t>
            </w:r>
          </w:p>
        </w:tc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40%</w:t>
            </w:r>
          </w:p>
        </w:tc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40%</w:t>
            </w:r>
          </w:p>
        </w:tc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0.782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+30.5pp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XGB（最佳）</w:t>
            </w:r>
          </w:p>
        </w:tc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40%</w:t>
            </w:r>
          </w:p>
        </w:tc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50%</w:t>
            </w:r>
          </w:p>
        </w:tc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0.726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+40.5pp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多 ETF 擴展（Version A，38 事件，N=6,765，Train≤2023 / Test≥2024）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300"/>
        <w:gridCol w:w="1300"/>
        <w:gridCol w:w="1200"/>
        <w:gridCol w:w="800"/>
      </w:tblGrid>
      <w:tr>
        <w:trPr>
          <w:tblHeader/>
        </w:trP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模型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整體 Top-10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00713 Top-10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00919 Top-10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0056 Top-10</w:t>
            </w:r>
          </w:p>
        </w:tc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基準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隨機基準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6.09%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9.11%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5.37%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3.23%</w:t>
            </w:r>
          </w:p>
        </w:tc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LR（最佳）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22.0%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37.5%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15.0%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5.0%</w:t>
            </w:r>
          </w:p>
        </w:tc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6.09%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RF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20.0%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35.0%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15.0%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0.0%</w:t>
            </w:r>
          </w:p>
        </w:tc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6.09%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XGB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14.0%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27.5%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5.0%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5.0%</w:t>
            </w:r>
          </w:p>
        </w:tc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6.09%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 w:line="288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整體 22% vs 00919 單一 50% 的差距拆解：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0056 Top-10=5%（接近隨機）：FTSE Russell 規則含不可觀測條件，公開特徵無法還原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00713 Top-10=37.5%（強）：TIP 量化規則，殖利率+低波動直接對應選股標準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00919 Top-10=15%（多 ETF 版候選池更大、正樣本率更低，難度提升）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特徵重要性（RF，Version A）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200"/>
        <w:gridCol w:w="4000"/>
      </w:tblGrid>
      <w:tr>
        <w:trPr>
          <w:tblHeader/>
        </w:trP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排名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特徵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重要性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dividend_yield_ttm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26.3%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殖利率絕對值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dividend_yield_rank_in_pool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23.0%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殖利率候選池排名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log_avg_turnover_60d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14.5%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流動性指標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beta_60d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11.8%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市場敏感度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volatility_60d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9.1%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波動率（00713 低波動標準）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 w:line="288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殖利率兩欄合計 49.3%——在 00919 單一和多 ETF 兩個版本中均為最重要特徵，跨 ETF 穩健。</w:t>
      </w:r>
    </w:p>
    <w:p>
      <w:pPr>
        <w:spacing w:after="0" w:before="60"/>
      </w:pPr>
      <w:r>
        <w:t xml:space="preserve"/>
      </w:r>
    </w:p>
    <w:p>
      <w:pPr>
        <w:spacing w:after="40" w:before="80"/>
        <w:jc w:val="center"/>
      </w:pPr>
      <w:r>
        <w:rPr>
          <w:rFonts w:ascii="Arial" w:cs="Arial" w:eastAsia="Arial" w:hAnsi="Arial"/>
          <w:b/>
          <w:bCs/>
          <w:color w:val="7F7F7F"/>
          <w:sz w:val="20"/>
          <w:szCs w:val="20"/>
        </w:rPr>
        <w:t xml:space="preserve">— 特徵重要性圖表 —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3238500"/>
            <wp:effectExtent t="0" r="0" b="0" l="0"/>
            <wp:docPr id="1" name="feature_importance_rf.png" descr="feature_importance_rf.png" title="feature_importance_r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7F7F7F"/>
          <w:sz w:val="18"/>
          <w:szCs w:val="18"/>
        </w:rPr>
        <w:t xml:space="preserve">圖 3：Random Forest 特徵重要性（Version A，多 ETF）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3238500"/>
            <wp:effectExtent t="0" r="0" b="0" l="0"/>
            <wp:docPr id="1" name="feature_importance_xgb.png" descr="feature_importance_xgb.png" title="feature_importance_xg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7F7F7F"/>
          <w:sz w:val="18"/>
          <w:szCs w:val="18"/>
        </w:rPr>
        <w:t xml:space="preserve">圖 4：XGBoost 特徵重要性（Version A，多 ETF）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六、策略可行性：成本分析與誠實結論</w:t>
      </w:r>
    </w:p>
    <w:p>
      <w:pPr>
        <w:pBdr>
          <w:left w:val="single" w:color="2E75B6" w:sz="12" w:space="8"/>
        </w:pBdr>
        <w:shd w:fill="D5E8F0" w:val="clear"/>
        <w:spacing w:after="80" w:before="80" w:line="276"/>
        <w:ind w:left="240" w:right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誠實結論：OOS 期間 pre-announcement alpha 未確認，現實成本下策略目前不可行——但研究框架清晰，可行性取決於更多 OOS 事件的累積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傳統策略失效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800"/>
        <w:gridCol w:w="2100"/>
      </w:tblGrid>
      <w:tr>
        <w:trPr>
          <w:tblHeader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策略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毛報酬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成本（含稅）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淨報酬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公告日買入 → 生效日賣出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−0.78%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0.585%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−1.37%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含滑點估計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−0.78%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0.985%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−1.77%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[−5,0] 視窗（完美預測假設）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+2.38%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0.585%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+1.80%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 w:line="288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傳統「公告日買入、生效日賣出」毛報酬即為負。唯一正報酬視窗 [−5,0] 需要事前預測能力。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OOS 假設策略回測（XGB 訊號，3 個事件）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1700"/>
        <w:gridCol w:w="1800"/>
        <w:gridCol w:w="1200"/>
      </w:tblGrid>
      <w:tr>
        <w:trPr>
          <w:tblHeader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K（持股數）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無成本報酬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手續費+稅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+滑點 20bps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Break-even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K=5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+0.46%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−0.13%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−0.53%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45.7 bps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K=10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+0.32%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−0.27%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−0.67%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31.6 bps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完美預測天花板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+0.15%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−0.43%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15.4 bps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實際最低成本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58.5 bps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（門檻）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 w:line="288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K=10 Break-even = 31.6 bps &lt; 實際門檻 58.5 bps；完美預測天花板 15.4 bps 亦不足覆蓋。</w:t>
      </w:r>
    </w:p>
    <w:p>
      <w:pPr>
        <w:spacing w:after="0" w:before="60"/>
      </w:pPr>
      <w:r>
        <w:t xml:space="preserve"/>
      </w:r>
    </w:p>
    <w:p>
      <w:pPr>
        <w:spacing w:after="40" w:before="80"/>
        <w:jc w:val="center"/>
      </w:pPr>
      <w:r>
        <w:drawing>
          <wp:inline distT="0" distB="0" distL="0" distR="0">
            <wp:extent cx="5905500" cy="3619500"/>
            <wp:effectExtent t="0" r="0" b="0" l="0"/>
            <wp:docPr id="1" name="backtest_comparison.png" descr="backtest_comparison.png" title="backtest_comparis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7F7F7F"/>
          <w:sz w:val="18"/>
          <w:szCs w:val="18"/>
        </w:rPr>
        <w:t xml:space="preserve">圖 5：假設策略回測對比（3 個 OOS 事件）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3619500"/>
            <wp:effectExtent t="0" r="0" b="0" l="0"/>
            <wp:docPr id="1" name="cost_sensitivity.png" descr="cost_sensitivity.png" title="cost_sensitiv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7F7F7F"/>
          <w:sz w:val="18"/>
          <w:szCs w:val="18"/>
        </w:rPr>
        <w:t xml:space="preserve">圖 6：成本敏感度分析（Break-even vs 實際成本門檻）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可能原因與後續方向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樣本量限制：N=3 OOS 事件，無法區分「alpha 消失」vs「隨機波動」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環境性效應：2022–2023 高息 ETF 瘋狂期的 run-up 模式，2024–2025 可能弱化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改善路徑：擴展至 0056（30+ 事件）或 00878 等，N≥20 才能做統計結論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「誠實的 null result」本身有價值：否定了一個看起來合理的策略，避免真實資金部署的損失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七、限制與未來研究方向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主要限制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1800"/>
      </w:tblGrid>
      <w:tr>
        <w:trPr>
          <w:tblHeader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限制</w:t>
            </w:r>
          </w:p>
        </w:tc>
        <w:tc>
          <w:tcPr>
            <w:tcW w:type="dxa" w:w="4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影響程度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OOS 樣本量（N=3）</w:t>
            </w:r>
          </w:p>
        </w:tc>
        <w:tc>
          <w:tcPr>
            <w:tcW w:type="dxa" w:w="4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00919 OOS 僅 3 個事件，統計功效嚴重不足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高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Beta=1 假設</w:t>
            </w:r>
          </w:p>
        </w:tc>
        <w:tc>
          <w:tcPr>
            <w:tcW w:type="dxa" w:w="4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高股息股典型 β≈0.7，CAR 幅度可能被低估約 ~0.6pp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中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候選池偏小</w:t>
            </w:r>
          </w:p>
        </w:tc>
        <w:tc>
          <w:tcPr>
            <w:tcW w:type="dxa" w:w="4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234 檔 vs 實際 600+ 有息股；正樣本率被高估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中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0056 規則不透明</w:t>
            </w:r>
          </w:p>
        </w:tc>
        <w:tc>
          <w:tcPr>
            <w:tcW w:type="dxa" w:w="4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FTSE Russell 規則含外資可買性，解釋為假說性質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中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跨越不同市場環境</w:t>
            </w:r>
          </w:p>
        </w:tc>
        <w:tc>
          <w:tcPr>
            <w:tcW w:type="dxa" w:w="4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2017–2025 ETF 規模從數十億到千億，早期事件前移可能偏弱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低-中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市值特徵缺失（49%）</w:t>
            </w:r>
          </w:p>
        </w:tc>
        <w:tc>
          <w:tcPr>
            <w:tcW w:type="dxa" w:w="4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FinMind 股本 API 速率限制；主版本排除市值特徵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低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未來研究方向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2400"/>
      </w:tblGrid>
      <w:tr>
        <w:trPr>
          <w:tblHeader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方向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預期收益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擴展樣本（最高優先）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加入 00878（月配）、0050 排除期效應，目標 N≥20 個 OOS 事件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大幅提升統計功效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Tick 資料分析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利用 TEJ 或 CMoney 分鐘線分析公告日後的日內反應路徑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釐清即時反轉的執行可行性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規則逆向工程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比較 TIP 公開規則與實際調整清單，定量評估規則穩定性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提升預測模型精度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ETF 折溢價整合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結合 ETF NAV 折溢價數據，分析套利視窗與 NAV 偏差的關係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提供 ETF Arb 新視角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研究紀律：兩次方法論自我修正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800"/>
        <w:gridCol w:w="3200"/>
      </w:tblGrid>
      <w:tr>
        <w:trPr>
          <w:tblHeader/>
        </w:trP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問題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v1（有問題）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v2（修正後）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修正原因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CAR_pre_30 R²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0.345（虛高）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0.072（真實）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動能視窗重疊 24 天 → 機械式自相關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CAR_post_30 R²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0.214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0.312（↑）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5347 世界先進 close=0 artifact → Cook's D=0.445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top w:val="single" w:color="2E75B6" w:sz="4"/>
          <w:bottom w:val="single" w:color="2E75B6" w:sz="4"/>
        </w:pBdr>
        <w:spacing w:after="200" w:before="200"/>
        <w:jc w:val="center"/>
      </w:pPr>
      <w:r>
        <w:rPr>
          <w:rFonts w:ascii="Arial" w:cs="Arial" w:eastAsia="Arial" w:hAnsi="Arial"/>
          <w:i/>
          <w:iCs/>
          <w:color w:val="1F3864"/>
          <w:sz w:val="20"/>
          <w:szCs w:val="20"/>
        </w:rPr>
        <w:t xml:space="preserve">研究資料 100% 來自 FinMind 免費 API 及台灣指數公司公告，無合成資料，流程完全可重現</w:t>
      </w:r>
    </w:p>
    <w:p>
      <w:pPr>
        <w:spacing w:after="0" w:before="60"/>
      </w:pPr>
      <w:r>
        <w:t xml:space="preserve"/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7F7F7F"/>
          <w:sz w:val="18"/>
          <w:szCs w:val="18"/>
        </w:rPr>
        <w:t xml:space="preserve">腳本：</w:t>
      </w:r>
      <w:r>
        <w:rPr>
          <w:rFonts w:ascii="Arial" w:cs="Arial" w:eastAsia="Arial" w:hAnsi="Arial"/>
          <w:color w:val="2E75B6"/>
          <w:sz w:val="18"/>
          <w:szCs w:val="18"/>
        </w:rPr>
        <w:t xml:space="preserve">scripts/run_car_analysis_multi_etf.py</w:t>
      </w:r>
      <w:r>
        <w:rPr>
          <w:rFonts w:ascii="Arial" w:cs="Arial" w:eastAsia="Arial" w:hAnsi="Arial"/>
          <w:color w:val="7F7F7F"/>
          <w:sz w:val="18"/>
          <w:szCs w:val="18"/>
        </w:rPr>
        <w:t xml:space="preserve">　|　</w:t>
      </w:r>
      <w:r>
        <w:rPr>
          <w:rFonts w:ascii="Arial" w:cs="Arial" w:eastAsia="Arial" w:hAnsi="Arial"/>
          <w:color w:val="2E75B6"/>
          <w:sz w:val="18"/>
          <w:szCs w:val="18"/>
        </w:rPr>
        <w:t xml:space="preserve">train_models_multi_etf.py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E8F0" w:sz="4" w:space="4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7F7F7F"/>
        <w:sz w:val="16"/>
        <w:szCs w:val="16"/>
      </w:rPr>
      <w:t xml:space="preserve">機密：僅供求職使用　</w:t>
    </w:r>
    <w:r>
      <w:rPr>
        <w:rFonts w:ascii="Arial" w:cs="Arial" w:eastAsia="Arial" w:hAnsi="Arial"/>
        <w:color w:val="7F7F7F"/>
        <w:sz w:val="16"/>
        <w:szCs w:val="16"/>
      </w:rPr>
      <w:t xml:space="preserve">	第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7F7F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E8F0" w:sz="4" w:space="4"/>
      </w:pBdr>
      <w:tabs>
        <w:tab w:val="right" w:pos="9026"/>
      </w:tabs>
      <w:spacing w:after="80" w:before="0"/>
    </w:pPr>
    <w:r>
      <w:rPr>
        <w:rFonts w:ascii="Arial" w:cs="Arial" w:eastAsia="Arial" w:hAnsi="Arial"/>
        <w:color w:val="7F7F7F"/>
        <w:sz w:val="18"/>
        <w:szCs w:val="18"/>
      </w:rPr>
      <w:t xml:space="preserve">台灣高息 ETF 指數調整反向效應研究　</w:t>
    </w:r>
    <w:r>
      <w:rPr>
        <w:rFonts w:ascii="Arial" w:cs="Arial" w:eastAsia="Arial" w:hAnsi="Arial"/>
        <w:color w:val="7F7F7F"/>
        <w:sz w:val="18"/>
        <w:szCs w:val="18"/>
      </w:rPr>
      <w:t xml:space="preserve">	劉晏禎 | 應徵優式資本量化交易職位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F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cf92eaa12d92e0e8318b7812c547dae2018d5ce.png"/><Relationship Id="rId10" Type="http://schemas.openxmlformats.org/officeDocument/2006/relationships/image" Target="media/b0cb3eb46e5e76f95d7492d5e5a9df39c2074d94.png"/><Relationship Id="rId11" Type="http://schemas.openxmlformats.org/officeDocument/2006/relationships/image" Target="media/f708f21c10dddbdea5ef6c7d3a595fc1bc1ce51f.png"/><Relationship Id="rId12" Type="http://schemas.openxmlformats.org/officeDocument/2006/relationships/image" Target="media/3cf0e131dfd39b18e2263d7c9099739ff50995dd.png"/><Relationship Id="rId13" Type="http://schemas.openxmlformats.org/officeDocument/2006/relationships/image" Target="media/572cc972ce9224d72e7ca68f9b973aaac56ff63a.png"/><Relationship Id="rId14" Type="http://schemas.openxmlformats.org/officeDocument/2006/relationships/image" Target="media/7d633da3352278e7ffc5cd8cf29667dd0239e80e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2026-05-26T08:05:01.441Z</dcterms:created>
  <dcterms:modified xsi:type="dcterms:W3CDTF">2026-05-26T08:05:01.446Z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