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台股月營收驚喜策略研究作品集</w:t>
      </w:r>
    </w:p>
    <w:p>
      <w:pPr>
        <w:jc w:val="center"/>
      </w:pPr>
      <w:r>
        <w:t>履歷附件版 V3｜圖表強化與 Word/PDF 版本</w:t>
      </w:r>
    </w:p>
    <w:p>
      <w:pPr>
        <w:jc w:val="center"/>
      </w:pPr>
      <w:r>
        <w:t>Research / Paper-Trading Only｜非投資建議｜非實盤交易系統</w:t>
      </w:r>
    </w:p>
    <w:p>
      <w:r>
        <w:br w:type="page"/>
      </w:r>
    </w:p>
    <w:p>
      <w:pPr>
        <w:pStyle w:val="Heading1"/>
      </w:pPr>
      <w:r>
        <w:t>01｜Executive Snapshot</w:t>
      </w:r>
    </w:p>
    <w:p>
      <w:r>
        <w:t>本作品集以台灣月營收公告制度為起點，建立 SUR-style 基本面 surprise 因子、短週期 portfolio backtest、robustness gates、execution realism 與 paper-trading schema。最終保留 S1 作為 portfolio-grade v0.1 研究候選；它不是 production-ready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定位</w:t>
            </w:r>
          </w:p>
        </w:tc>
      </w:tr>
      <w:tr>
        <w:tc>
          <w:tcPr>
            <w:tcW w:type="dxa" w:w="2074"/>
          </w:tcPr>
          <w:p>
            <w:r>
              <w:t>S1 incumbent</w:t>
            </w:r>
          </w:p>
        </w:tc>
        <w:tc>
          <w:tcPr>
            <w:tcW w:type="dxa" w:w="2074"/>
          </w:tcPr>
          <w:p>
            <w:r>
              <w:t>+167.5%</w:t>
            </w:r>
          </w:p>
        </w:tc>
        <w:tc>
          <w:tcPr>
            <w:tcW w:type="dxa" w:w="2074"/>
          </w:tcPr>
          <w:p>
            <w:r>
              <w:t>≈2.40</w:t>
            </w:r>
          </w:p>
        </w:tc>
        <w:tc>
          <w:tcPr>
            <w:tcW w:type="dxa" w:w="2074"/>
          </w:tcPr>
          <w:p>
            <w:r>
              <w:t>-7.9%</w:t>
            </w:r>
          </w:p>
        </w:tc>
        <w:tc>
          <w:tcPr>
            <w:tcW w:type="dxa" w:w="2074"/>
          </w:tcPr>
          <w:p>
            <w:r>
              <w:t>Portfolio-grade v0.1；仍需 exact timing / paper trading</w:t>
            </w:r>
          </w:p>
        </w:tc>
      </w:tr>
      <w:tr>
        <w:tc>
          <w:tcPr>
            <w:tcW w:type="dxa" w:w="2074"/>
          </w:tcPr>
          <w:p>
            <w:r>
              <w:t>S1 fixed-20 comparator</w:t>
            </w:r>
          </w:p>
        </w:tc>
        <w:tc>
          <w:tcPr>
            <w:tcW w:type="dxa" w:w="2074"/>
          </w:tcPr>
          <w:p>
            <w:r>
              <w:t>+161.9%</w:t>
            </w:r>
          </w:p>
        </w:tc>
        <w:tc>
          <w:tcPr>
            <w:tcW w:type="dxa" w:w="2074"/>
          </w:tcPr>
          <w:p>
            <w:r>
              <w:t>1.55</w:t>
            </w:r>
          </w:p>
        </w:tc>
        <w:tc>
          <w:tcPr>
            <w:tcW w:type="dxa" w:w="2074"/>
          </w:tcPr>
          <w:p>
            <w:r>
              <w:t>-21.2%</w:t>
            </w:r>
          </w:p>
        </w:tc>
        <w:tc>
          <w:tcPr>
            <w:tcW w:type="dxa" w:w="2074"/>
          </w:tcPr>
          <w:p>
            <w:r>
              <w:t>簡潔 benchmark</w:t>
            </w:r>
          </w:p>
        </w:tc>
      </w:tr>
      <w:tr>
        <w:tc>
          <w:tcPr>
            <w:tcW w:type="dxa" w:w="2074"/>
          </w:tcPr>
          <w:p>
            <w:r>
              <w:t>Quiet boost sizing</w:t>
            </w:r>
          </w:p>
        </w:tc>
        <w:tc>
          <w:tcPr>
            <w:tcW w:type="dxa" w:w="2074"/>
          </w:tcPr>
          <w:p>
            <w:r>
              <w:t>+174.4%</w:t>
            </w:r>
          </w:p>
        </w:tc>
        <w:tc>
          <w:tcPr>
            <w:tcW w:type="dxa" w:w="2074"/>
          </w:tcPr>
          <w:p>
            <w:r>
              <w:t>1.62</w:t>
            </w:r>
          </w:p>
        </w:tc>
        <w:tc>
          <w:tcPr>
            <w:tcW w:type="dxa" w:w="2074"/>
          </w:tcPr>
          <w:p>
            <w:r>
              <w:t>-21.2%</w:t>
            </w:r>
          </w:p>
        </w:tc>
        <w:tc>
          <w:tcPr>
            <w:tcW w:type="dxa" w:w="2074"/>
          </w:tcPr>
          <w:p>
            <w:r>
              <w:t>小幅改善，不 promotion</w:t>
            </w:r>
          </w:p>
        </w:tc>
      </w:tr>
      <w:tr>
        <w:tc>
          <w:tcPr>
            <w:tcW w:type="dxa" w:w="2074"/>
          </w:tcPr>
          <w:p>
            <w:r>
              <w:t>Conservative execution proxy</w:t>
            </w:r>
          </w:p>
        </w:tc>
        <w:tc>
          <w:tcPr>
            <w:tcW w:type="dxa" w:w="2074"/>
          </w:tcPr>
          <w:p>
            <w:r>
              <w:t>+111.9%</w:t>
            </w:r>
          </w:p>
        </w:tc>
        <w:tc>
          <w:tcPr>
            <w:tcW w:type="dxa" w:w="2074"/>
          </w:tcPr>
          <w:p>
            <w:r>
              <w:t>1.24</w:t>
            </w:r>
          </w:p>
        </w:tc>
        <w:tc>
          <w:tcPr>
            <w:tcW w:type="dxa" w:w="2074"/>
          </w:tcPr>
          <w:p>
            <w:r>
              <w:t>-24.9%</w:t>
            </w:r>
          </w:p>
        </w:tc>
        <w:tc>
          <w:tcPr>
            <w:tcW w:type="dxa" w:w="2074"/>
          </w:tcPr>
          <w:p>
            <w:r>
              <w:t>保守假設後 quality 下降</w:t>
            </w:r>
          </w:p>
        </w:tc>
      </w:tr>
      <w:tr>
        <w:tc>
          <w:tcPr>
            <w:tcW w:type="dxa" w:w="2074"/>
          </w:tcPr>
          <w:p>
            <w:r>
              <w:t>FRR best first-pass</w:t>
            </w:r>
          </w:p>
        </w:tc>
        <w:tc>
          <w:tcPr>
            <w:tcW w:type="dxa" w:w="2074"/>
          </w:tcPr>
          <w:p>
            <w:r>
              <w:t>+251.4%</w:t>
            </w:r>
          </w:p>
        </w:tc>
        <w:tc>
          <w:tcPr>
            <w:tcW w:type="dxa" w:w="2074"/>
          </w:tcPr>
          <w:p>
            <w:r>
              <w:t>1.55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  <w:tc>
          <w:tcPr>
            <w:tcW w:type="dxa" w:w="2074"/>
          </w:tcPr>
          <w:p>
            <w:r>
              <w:t>新融資策略，樣本少、僅診斷候選</w:t>
            </w:r>
          </w:p>
        </w:tc>
      </w:tr>
    </w:tbl>
    <w:p/>
    <w:p>
      <w:pPr>
        <w:pStyle w:val="Heading1"/>
      </w:pPr>
      <w:r>
        <w:t>02｜策略規格與因果鏈</w:t>
      </w:r>
    </w:p>
    <w:p>
      <w:r>
        <w:t>因果鏈：月營收公告制度 → 持續性營收 surprise → 投資人預期逐步調整 → 公布後 10–20D repricing。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模組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設定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Signal</w:t>
            </w:r>
          </w:p>
        </w:tc>
        <w:tc>
          <w:tcPr>
            <w:tcW w:type="dxa" w:w="3456"/>
          </w:tcPr>
          <w:p>
            <w:r>
              <w:t>3M SUR persistence</w:t>
            </w:r>
          </w:p>
        </w:tc>
        <w:tc>
          <w:tcPr>
            <w:tcW w:type="dxa" w:w="3456"/>
          </w:tcPr>
          <w:p>
            <w:r>
              <w:t>降低單月營收雜訊，捕捉連續 surprise</w:t>
            </w:r>
          </w:p>
        </w:tc>
      </w:tr>
      <w:tr>
        <w:tc>
          <w:tcPr>
            <w:tcW w:type="dxa" w:w="3456"/>
          </w:tcPr>
          <w:p>
            <w:r>
              <w:t>Filter</w:t>
            </w:r>
          </w:p>
        </w:tc>
        <w:tc>
          <w:tcPr>
            <w:tcW w:type="dxa" w:w="3456"/>
          </w:tcPr>
          <w:p>
            <w:r>
              <w:t>No overheated momentum</w:t>
            </w:r>
          </w:p>
        </w:tc>
        <w:tc>
          <w:tcPr>
            <w:tcW w:type="dxa" w:w="3456"/>
          </w:tcPr>
          <w:p>
            <w:r>
              <w:t>避免股價已提前 pricing</w:t>
            </w:r>
          </w:p>
        </w:tc>
      </w:tr>
      <w:tr>
        <w:tc>
          <w:tcPr>
            <w:tcW w:type="dxa" w:w="3456"/>
          </w:tcPr>
          <w:p>
            <w:r>
              <w:t>Liquidity</w:t>
            </w:r>
          </w:p>
        </w:tc>
        <w:tc>
          <w:tcPr>
            <w:tcW w:type="dxa" w:w="3456"/>
          </w:tcPr>
          <w:p>
            <w:r>
              <w:t>20D avg turnover ≥ 50m TWD</w:t>
            </w:r>
          </w:p>
        </w:tc>
        <w:tc>
          <w:tcPr>
            <w:tcW w:type="dxa" w:w="3456"/>
          </w:tcPr>
          <w:p>
            <w:r>
              <w:t>降低不可交易小型股假象</w:t>
            </w:r>
          </w:p>
        </w:tc>
      </w:tr>
      <w:tr>
        <w:tc>
          <w:tcPr>
            <w:tcW w:type="dxa" w:w="3456"/>
          </w:tcPr>
          <w:p>
            <w:r>
              <w:t>Portfolio</w:t>
            </w:r>
          </w:p>
        </w:tc>
        <w:tc>
          <w:tcPr>
            <w:tcW w:type="dxa" w:w="3456"/>
          </w:tcPr>
          <w:p>
            <w:r>
              <w:t>Top 8, industry cap = 3</w:t>
            </w:r>
          </w:p>
        </w:tc>
        <w:tc>
          <w:tcPr>
            <w:tcW w:type="dxa" w:w="3456"/>
          </w:tcPr>
          <w:p>
            <w:r>
              <w:t>控制單月與產業集中度</w:t>
            </w:r>
          </w:p>
        </w:tc>
      </w:tr>
      <w:tr>
        <w:tc>
          <w:tcPr>
            <w:tcW w:type="dxa" w:w="3456"/>
          </w:tcPr>
          <w:p>
            <w:r>
              <w:t>Exit</w:t>
            </w:r>
          </w:p>
        </w:tc>
        <w:tc>
          <w:tcPr>
            <w:tcW w:type="dxa" w:w="3456"/>
          </w:tcPr>
          <w:p>
            <w:r>
              <w:t>20D + sl8_trail12 proxy</w:t>
            </w:r>
          </w:p>
        </w:tc>
        <w:tc>
          <w:tcPr>
            <w:tcW w:type="dxa" w:w="3456"/>
          </w:tcPr>
          <w:p>
            <w:r>
              <w:t>短週期 repricing + 風控 proxy</w:t>
            </w:r>
          </w:p>
        </w:tc>
      </w:tr>
    </w:tbl>
    <w:p/>
    <w:p>
      <w:pPr>
        <w:pStyle w:val="Heading1"/>
      </w:pPr>
      <w:r>
        <w:t>03｜Data Pipeline &amp; Anti-look-ahead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資料 / Gate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做法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Remove winners</w:t>
            </w:r>
          </w:p>
        </w:tc>
        <w:tc>
          <w:tcPr>
            <w:tcW w:type="dxa" w:w="3456"/>
          </w:tcPr>
          <w:p>
            <w:r>
              <w:t>Top 5/10/20 stress</w:t>
            </w:r>
          </w:p>
        </w:tc>
        <w:tc>
          <w:tcPr>
            <w:tcW w:type="dxa" w:w="3456"/>
          </w:tcPr>
          <w:p>
            <w:r>
              <w:t>檢查右尾依賴</w:t>
            </w:r>
          </w:p>
        </w:tc>
      </w:tr>
      <w:tr>
        <w:tc>
          <w:tcPr>
            <w:tcW w:type="dxa" w:w="3456"/>
          </w:tcPr>
          <w:p>
            <w:r>
              <w:t>Walk-forward</w:t>
            </w:r>
          </w:p>
        </w:tc>
        <w:tc>
          <w:tcPr>
            <w:tcW w:type="dxa" w:w="3456"/>
          </w:tcPr>
          <w:p>
            <w:r>
              <w:t>Train 2023→2024; 2023–24→2025</w:t>
            </w:r>
          </w:p>
        </w:tc>
        <w:tc>
          <w:tcPr>
            <w:tcW w:type="dxa" w:w="3456"/>
          </w:tcPr>
          <w:p>
            <w:r>
              <w:t>檢查樣本外選參數是否有效</w:t>
            </w:r>
          </w:p>
        </w:tc>
      </w:tr>
      <w:tr>
        <w:tc>
          <w:tcPr>
            <w:tcW w:type="dxa" w:w="3456"/>
          </w:tcPr>
          <w:p>
            <w:r>
              <w:t>Sector survival</w:t>
            </w:r>
          </w:p>
        </w:tc>
        <w:tc>
          <w:tcPr>
            <w:tcW w:type="dxa" w:w="3456"/>
          </w:tcPr>
          <w:p>
            <w:r>
              <w:t>electronics / semiconductor / no-semiconductor</w:t>
            </w:r>
          </w:p>
        </w:tc>
        <w:tc>
          <w:tcPr>
            <w:tcW w:type="dxa" w:w="3456"/>
          </w:tcPr>
          <w:p>
            <w:r>
              <w:t>避免誤稱 broad alpha</w:t>
            </w:r>
          </w:p>
        </w:tc>
      </w:tr>
      <w:tr>
        <w:tc>
          <w:tcPr>
            <w:tcW w:type="dxa" w:w="3456"/>
          </w:tcPr>
          <w:p>
            <w:r>
              <w:t>Execution realism</w:t>
            </w:r>
          </w:p>
        </w:tc>
        <w:tc>
          <w:tcPr>
            <w:tcW w:type="dxa" w:w="3456"/>
          </w:tcPr>
          <w:p>
            <w:r>
              <w:t>next-open, 1.0% cost, limit-up non-fill</w:t>
            </w:r>
          </w:p>
        </w:tc>
        <w:tc>
          <w:tcPr>
            <w:tcW w:type="dxa" w:w="3456"/>
          </w:tcPr>
          <w:p>
            <w:r>
              <w:t>避免 close-price proxy 高估</w:t>
            </w:r>
          </w:p>
        </w:tc>
      </w:tr>
      <w:tr>
        <w:tc>
          <w:tcPr>
            <w:tcW w:type="dxa" w:w="3456"/>
          </w:tcPr>
          <w:p>
            <w:r>
              <w:t>Paper trading</w:t>
            </w:r>
          </w:p>
        </w:tc>
        <w:tc>
          <w:tcPr>
            <w:tcW w:type="dxa" w:w="3456"/>
          </w:tcPr>
          <w:p>
            <w:r>
              <w:t>資料觀測時間、non-fill、滑價、20D outcome</w:t>
            </w:r>
          </w:p>
        </w:tc>
        <w:tc>
          <w:tcPr>
            <w:tcW w:type="dxa" w:w="3456"/>
          </w:tcPr>
          <w:p>
            <w:r>
              <w:t>驗證 operational feasibility</w:t>
            </w:r>
          </w:p>
        </w:tc>
      </w:tr>
    </w:tbl>
    <w:p/>
    <w:p>
      <w:r>
        <w:t>重點限制：歷史資料尚未完整包含公司級 exact announcement timestamp，因此文件明確標示 next-open / delayed-entry / close-price proxy 的限制。</w:t>
      </w:r>
    </w:p>
    <w:p>
      <w:pPr>
        <w:pStyle w:val="Heading1"/>
      </w:pPr>
      <w:r>
        <w:t>04｜核心圖表與結果解讀</w:t>
      </w:r>
    </w:p>
    <w:p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1｜S1 NAV 與 drawdown：展示績效路徑與回撤控制，但仍是 proxy backtest。</w:t>
      </w:r>
    </w:p>
    <w:p>
      <w:r>
        <w:drawing>
          <wp:inline xmlns:a="http://schemas.openxmlformats.org/drawingml/2006/main" xmlns:pic="http://schemas.openxmlformats.org/drawingml/2006/picture">
            <wp:extent cx="6126480" cy="255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2｜月報酬與 IS/OOS 切分：檢查樣本外是否仍有正貢獻。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3｜策略搜尋 Sharpe vs MDD：避免只追最高 Sharpe，需同時看回撤。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4｜Top variants vs remove-top-5：檢查高績效是否依賴少數大贏家。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5｜Remove-winners Sharpe decay：right-tail dependence 是核心風險。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26480" cy="2552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6｜Walk-forward OOS NAV：固定 S1 未被 train-selected rule 穩定擊敗。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7｜Sector survival：電子 / 半導體依賴明顯，no-semiconductor 轉弱。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26480" cy="3341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8｜Quiet digestion NAV：具解釋性，但 standalone 樣本偏少。</w:t>
      </w:r>
    </w:p>
    <w:p>
      <w:r>
        <w:drawing>
          <wp:inline xmlns:a="http://schemas.openxmlformats.org/drawingml/2006/main" xmlns:pic="http://schemas.openxmlformats.org/drawingml/2006/picture">
            <wp:extent cx="6126480" cy="33417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9｜Dynamic sizing NAV：作為 sizing overlay 小幅改善，但不足以 promotion。</w:t>
      </w:r>
    </w:p>
    <w:p>
      <w:pPr>
        <w:pStyle w:val="Heading1"/>
      </w:pPr>
      <w:r>
        <w:t>05｜新策略 FRR：融資清洗反彈研究</w:t>
      </w:r>
    </w:p>
    <w:p>
      <w:r>
        <w:t>FRR 測試「強營收 surprise + 融資去槓桿 + 放量換手 / 不接刀」是否形成短線反彈。第一輪結果顯示 headline 有訊號，但 Sharpe、交易數、remove-winner 與高流動性檢查不足以取代 S1。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251.4%</w:t>
            </w:r>
          </w:p>
        </w:tc>
        <w:tc>
          <w:tcPr>
            <w:tcW w:type="dxa" w:w="1481"/>
          </w:tcPr>
          <w:p>
            <w:r>
              <w:t>1.55</w:t>
            </w:r>
          </w:p>
        </w:tc>
        <w:tc>
          <w:tcPr>
            <w:tcW w:type="dxa" w:w="1481"/>
          </w:tcPr>
          <w:p>
            <w:r>
              <w:t>-17.6%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223.8%</w:t>
            </w:r>
          </w:p>
        </w:tc>
        <w:tc>
          <w:tcPr>
            <w:tcW w:type="dxa" w:w="1481"/>
          </w:tcPr>
          <w:p>
            <w:r>
              <w:t>1.43</w:t>
            </w:r>
          </w:p>
        </w:tc>
        <w:tc>
          <w:tcPr>
            <w:tcW w:type="dxa" w:w="1481"/>
          </w:tcPr>
          <w:p>
            <w:r>
              <w:t>-19.0%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179.1%</w:t>
            </w:r>
          </w:p>
        </w:tc>
        <w:tc>
          <w:tcPr>
            <w:tcW w:type="dxa" w:w="1481"/>
          </w:tcPr>
          <w:p>
            <w:r>
              <w:t>1.39</w:t>
            </w:r>
          </w:p>
        </w:tc>
        <w:tc>
          <w:tcPr>
            <w:tcW w:type="dxa" w:w="1481"/>
          </w:tcPr>
          <w:p>
            <w:r>
              <w:t>-16.6%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184.8%</w:t>
            </w:r>
          </w:p>
        </w:tc>
        <w:tc>
          <w:tcPr>
            <w:tcW w:type="dxa" w:w="1481"/>
          </w:tcPr>
          <w:p>
            <w:r>
              <w:t>1.32</w:t>
            </w:r>
          </w:p>
        </w:tc>
        <w:tc>
          <w:tcPr>
            <w:tcW w:type="dxa" w:w="1481"/>
          </w:tcPr>
          <w:p>
            <w:r>
              <w:t>-22.3%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159.4%</w:t>
            </w:r>
          </w:p>
        </w:tc>
        <w:tc>
          <w:tcPr>
            <w:tcW w:type="dxa" w:w="1481"/>
          </w:tcPr>
          <w:p>
            <w:r>
              <w:t>1.26</w:t>
            </w:r>
          </w:p>
        </w:tc>
        <w:tc>
          <w:tcPr>
            <w:tcW w:type="dxa" w:w="1481"/>
          </w:tcPr>
          <w:p>
            <w:r>
              <w:t>-18.7%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78.7%</w:t>
            </w:r>
          </w:p>
        </w:tc>
        <w:tc>
          <w:tcPr>
            <w:tcW w:type="dxa" w:w="1481"/>
          </w:tcPr>
          <w:p>
            <w:r>
              <w:t>1.18</w:t>
            </w:r>
          </w:p>
        </w:tc>
        <w:tc>
          <w:tcPr>
            <w:tcW w:type="dxa" w:w="1481"/>
          </w:tcPr>
          <w:p>
            <w:r>
              <w:t>-15.2%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157.7%</w:t>
            </w:r>
          </w:p>
        </w:tc>
        <w:tc>
          <w:tcPr>
            <w:tcW w:type="dxa" w:w="1481"/>
          </w:tcPr>
          <w:p>
            <w:r>
              <w:t>1.16</w:t>
            </w:r>
          </w:p>
        </w:tc>
        <w:tc>
          <w:tcPr>
            <w:tcW w:type="dxa" w:w="1481"/>
          </w:tcPr>
          <w:p>
            <w:r>
              <w:t>-27.5%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132.6%</w:t>
            </w:r>
          </w:p>
        </w:tc>
        <w:tc>
          <w:tcPr>
            <w:tcW w:type="dxa" w:w="1481"/>
          </w:tcPr>
          <w:p>
            <w:r>
              <w:t>1.13</w:t>
            </w:r>
          </w:p>
        </w:tc>
        <w:tc>
          <w:tcPr>
            <w:tcW w:type="dxa" w:w="1481"/>
          </w:tcPr>
          <w:p>
            <w:r>
              <w:t>-17.7%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1653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10｜FRR 策略搜尋 Top 10：最佳 Sharpe 約 1.55，仍低於 S1 incumbent，適合作為診斷層而非替代策略。</w:t>
      </w:r>
    </w:p>
    <w:p>
      <w:r>
        <w:drawing>
          <wp:inline xmlns:a="http://schemas.openxmlformats.org/drawingml/2006/main" xmlns:pic="http://schemas.openxmlformats.org/drawingml/2006/picture">
            <wp:extent cx="6126480" cy="33841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11｜FRR remove-winner stress：FRR-2 / FRR-3 移除 top 10 後轉負，顯示右尾依賴仍是主要限制。</w:t>
      </w:r>
    </w:p>
    <w:p>
      <w:r>
        <w:drawing>
          <wp:inline xmlns:a="http://schemas.openxmlformats.org/drawingml/2006/main" xmlns:pic="http://schemas.openxmlformats.org/drawingml/2006/picture">
            <wp:extent cx="6126480" cy="33841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12｜FRR-3 sector survival：非半導體 Sharpe 尚可，但交易數少，不能宣稱 broad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3.4%</w:t>
            </w:r>
          </w:p>
        </w:tc>
        <w:tc>
          <w:tcPr>
            <w:tcW w:type="dxa" w:w="2074"/>
          </w:tcPr>
          <w:p>
            <w:r>
              <w:t>0.19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  <w:tc>
          <w:tcPr>
            <w:tcW w:type="dxa" w:w="2074"/>
          </w:tcPr>
          <w:p>
            <w:r>
              <w:t>-1.03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  <w:tc>
          <w:tcPr>
            <w:tcW w:type="dxa" w:w="2074"/>
          </w:tcPr>
          <w:p>
            <w:r>
              <w:t>-2.25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30.1%</w:t>
            </w:r>
          </w:p>
        </w:tc>
        <w:tc>
          <w:tcPr>
            <w:tcW w:type="dxa" w:w="2074"/>
          </w:tcPr>
          <w:p>
            <w:r>
              <w:t>0.61</w:t>
            </w:r>
          </w:p>
        </w:tc>
        <w:tc>
          <w:tcPr>
            <w:tcW w:type="dxa" w:w="2074"/>
          </w:tcPr>
          <w:p>
            <w:r>
              <w:t>-21.8%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-26.4%</w:t>
            </w:r>
          </w:p>
        </w:tc>
        <w:tc>
          <w:tcPr>
            <w:tcW w:type="dxa" w:w="2074"/>
          </w:tcPr>
          <w:p>
            <w:r>
              <w:t>-0.85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  <w:tc>
          <w:tcPr>
            <w:tcW w:type="dxa" w:w="2074"/>
          </w:tcPr>
          <w:p>
            <w:r>
              <w:t>-0.69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Subset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all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electronics</w:t>
            </w:r>
          </w:p>
        </w:tc>
        <w:tc>
          <w:tcPr>
            <w:tcW w:type="dxa" w:w="2074"/>
          </w:tcPr>
          <w:p>
            <w:r>
              <w:t>38.7%</w:t>
            </w:r>
          </w:p>
        </w:tc>
        <w:tc>
          <w:tcPr>
            <w:tcW w:type="dxa" w:w="2074"/>
          </w:tcPr>
          <w:p>
            <w:r>
              <w:t>0.54</w:t>
            </w:r>
          </w:p>
        </w:tc>
        <w:tc>
          <w:tcPr>
            <w:tcW w:type="dxa" w:w="2074"/>
          </w:tcPr>
          <w:p>
            <w:r>
              <w:t>-32.1%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non_electronics</w:t>
            </w:r>
          </w:p>
        </w:tc>
        <w:tc>
          <w:tcPr>
            <w:tcW w:type="dxa" w:w="2074"/>
          </w:tcPr>
          <w:p>
            <w:r>
              <w:t>59.0%</w:t>
            </w:r>
          </w:p>
        </w:tc>
        <w:tc>
          <w:tcPr>
            <w:tcW w:type="dxa" w:w="2074"/>
          </w:tcPr>
          <w:p>
            <w:r>
              <w:t>0.85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semiconductor</w:t>
            </w:r>
          </w:p>
        </w:tc>
        <w:tc>
          <w:tcPr>
            <w:tcW w:type="dxa" w:w="2074"/>
          </w:tcPr>
          <w:p>
            <w:r>
              <w:t>94.3%</w:t>
            </w:r>
          </w:p>
        </w:tc>
        <w:tc>
          <w:tcPr>
            <w:tcW w:type="dxa" w:w="2074"/>
          </w:tcPr>
          <w:p>
            <w:r>
              <w:t>0.93</w:t>
            </w:r>
          </w:p>
        </w:tc>
        <w:tc>
          <w:tcPr>
            <w:tcW w:type="dxa" w:w="2074"/>
          </w:tcPr>
          <w:p>
            <w:r>
              <w:t>-14.2%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no_semiconductor</w:t>
            </w:r>
          </w:p>
        </w:tc>
        <w:tc>
          <w:tcPr>
            <w:tcW w:type="dxa" w:w="2074"/>
          </w:tcPr>
          <w:p>
            <w:r>
              <w:t>30.7%</w:t>
            </w:r>
          </w:p>
        </w:tc>
        <w:tc>
          <w:tcPr>
            <w:tcW w:type="dxa" w:w="2074"/>
          </w:tcPr>
          <w:p>
            <w:r>
              <w:t>0.51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all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electronics</w:t>
            </w:r>
          </w:p>
        </w:tc>
        <w:tc>
          <w:tcPr>
            <w:tcW w:type="dxa" w:w="2074"/>
          </w:tcPr>
          <w:p>
            <w:r>
              <w:t>136.7%</w:t>
            </w:r>
          </w:p>
        </w:tc>
        <w:tc>
          <w:tcPr>
            <w:tcW w:type="dxa" w:w="2074"/>
          </w:tcPr>
          <w:p>
            <w:r>
              <w:t>1.13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non_electronics</w:t>
            </w:r>
          </w:p>
        </w:tc>
        <w:tc>
          <w:tcPr>
            <w:tcW w:type="dxa" w:w="2074"/>
          </w:tcPr>
          <w:p>
            <w:r>
              <w:t>53.8%</w:t>
            </w:r>
          </w:p>
        </w:tc>
        <w:tc>
          <w:tcPr>
            <w:tcW w:type="dxa" w:w="2074"/>
          </w:tcPr>
          <w:p>
            <w:r>
              <w:t>0.80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semiconductor</w:t>
            </w:r>
          </w:p>
        </w:tc>
        <w:tc>
          <w:tcPr>
            <w:tcW w:type="dxa" w:w="2074"/>
          </w:tcPr>
          <w:p>
            <w:r>
              <w:t>6.9%</w:t>
            </w:r>
          </w:p>
        </w:tc>
        <w:tc>
          <w:tcPr>
            <w:tcW w:type="dxa" w:w="2074"/>
          </w:tcPr>
          <w:p>
            <w:r>
              <w:t>0.26</w:t>
            </w:r>
          </w:p>
        </w:tc>
        <w:tc>
          <w:tcPr>
            <w:tcW w:type="dxa" w:w="2074"/>
          </w:tcPr>
          <w:p>
            <w:r>
              <w:t>-14.2%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no_semiconductor</w:t>
            </w:r>
          </w:p>
        </w:tc>
        <w:tc>
          <w:tcPr>
            <w:tcW w:type="dxa" w:w="2074"/>
          </w:tcPr>
          <w:p>
            <w:r>
              <w:t>151.2%</w:t>
            </w:r>
          </w:p>
        </w:tc>
        <w:tc>
          <w:tcPr>
            <w:tcW w:type="dxa" w:w="2074"/>
          </w:tcPr>
          <w:p>
            <w:r>
              <w:t>1.31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</w:tr>
    </w:tbl>
    <w:p/>
    <w:p>
      <w:pPr>
        <w:pStyle w:val="Heading1"/>
      </w:pPr>
      <w:r>
        <w:t>06｜限制、Roadmap 與結論定位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下一步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Gate 1</w:t>
            </w:r>
          </w:p>
        </w:tc>
        <w:tc>
          <w:tcPr>
            <w:tcW w:type="dxa" w:w="3456"/>
          </w:tcPr>
          <w:p>
            <w:r>
              <w:t>公司級 exact announcement timestamp</w:t>
            </w:r>
          </w:p>
        </w:tc>
        <w:tc>
          <w:tcPr>
            <w:tcW w:type="dxa" w:w="3456"/>
          </w:tcPr>
          <w:p>
            <w:r>
              <w:t>釐清最早可交易時間</w:t>
            </w:r>
          </w:p>
        </w:tc>
      </w:tr>
      <w:tr>
        <w:tc>
          <w:tcPr>
            <w:tcW w:type="dxa" w:w="3456"/>
          </w:tcPr>
          <w:p>
            <w:r>
              <w:t>Gate 2</w:t>
            </w:r>
          </w:p>
        </w:tc>
        <w:tc>
          <w:tcPr>
            <w:tcW w:type="dxa" w:w="3456"/>
          </w:tcPr>
          <w:p>
            <w:r>
              <w:t>survivorship / historical universe 補強</w:t>
            </w:r>
          </w:p>
        </w:tc>
        <w:tc>
          <w:tcPr>
            <w:tcW w:type="dxa" w:w="3456"/>
          </w:tcPr>
          <w:p>
            <w:r>
              <w:t>降低樣本偏誤</w:t>
            </w:r>
          </w:p>
        </w:tc>
      </w:tr>
      <w:tr>
        <w:tc>
          <w:tcPr>
            <w:tcW w:type="dxa" w:w="3456"/>
          </w:tcPr>
          <w:p>
            <w:r>
              <w:t>Gate 3</w:t>
            </w:r>
          </w:p>
        </w:tc>
        <w:tc>
          <w:tcPr>
            <w:tcW w:type="dxa" w:w="3456"/>
          </w:tcPr>
          <w:p>
            <w:r>
              <w:t>auction / limit-up fill realism</w:t>
            </w:r>
          </w:p>
        </w:tc>
        <w:tc>
          <w:tcPr>
            <w:tcW w:type="dxa" w:w="3456"/>
          </w:tcPr>
          <w:p>
            <w:r>
              <w:t>驗證漲停不可成交與滑價</w:t>
            </w:r>
          </w:p>
        </w:tc>
      </w:tr>
      <w:tr>
        <w:tc>
          <w:tcPr>
            <w:tcW w:type="dxa" w:w="3456"/>
          </w:tcPr>
          <w:p>
            <w:r>
              <w:t>Gate 4</w:t>
            </w:r>
          </w:p>
        </w:tc>
        <w:tc>
          <w:tcPr>
            <w:tcW w:type="dxa" w:w="3456"/>
          </w:tcPr>
          <w:p>
            <w:r>
              <w:t>paper trading 3–6 個月</w:t>
            </w:r>
          </w:p>
        </w:tc>
        <w:tc>
          <w:tcPr>
            <w:tcW w:type="dxa" w:w="3456"/>
          </w:tcPr>
          <w:p>
            <w:r>
              <w:t>驗證流程與假設漂移</w:t>
            </w:r>
          </w:p>
        </w:tc>
      </w:tr>
      <w:tr>
        <w:tc>
          <w:tcPr>
            <w:tcW w:type="dxa" w:w="3456"/>
          </w:tcPr>
          <w:p>
            <w:r>
              <w:t>Gate 5</w:t>
            </w:r>
          </w:p>
        </w:tc>
        <w:tc>
          <w:tcPr>
            <w:tcW w:type="dxa" w:w="3456"/>
          </w:tcPr>
          <w:p>
            <w:r>
              <w:t>FRR as S1 sizing diagnostic</w:t>
            </w:r>
          </w:p>
        </w:tc>
        <w:tc>
          <w:tcPr>
            <w:tcW w:type="dxa" w:w="3456"/>
          </w:tcPr>
          <w:p>
            <w:r>
              <w:t>不獨立 promotion，先測是否改善 S1 sizing</w:t>
            </w:r>
          </w:p>
        </w:tc>
      </w:tr>
    </w:tbl>
    <w:p/>
    <w:p>
      <w:r>
        <w:t>最終定位：這個作品集展示完整量化研究流程，而不是宣稱已可實盤。最強敘述是：我能從市場制度提出假說、建立官方資料 pipeline、設計因子、做 portfolio-level robustness，並誠實拒絕未通過 production gates 的策略。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