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台股月營收驚喜策略研究報告</w:t>
      </w:r>
    </w:p>
    <w:p>
      <w:pPr>
        <w:jc w:val="center"/>
      </w:pPr>
      <w:r>
        <w:t>面試講稿版 V4｜業界答辯與圖表講解版</w:t>
      </w:r>
    </w:p>
    <w:p>
      <w:pPr>
        <w:jc w:val="center"/>
      </w:pPr>
      <w:r>
        <w:t>Research / Paper-Trading Only｜非投資建議｜非實盤交易系統</w:t>
      </w:r>
    </w:p>
    <w:p>
      <w:r>
        <w:br w:type="page"/>
      </w:r>
    </w:p>
    <w:p>
      <w:pPr>
        <w:pStyle w:val="Heading1"/>
      </w:pPr>
      <w:r>
        <w:t>01｜Executive Summary：業界版研究摘要</w:t>
      </w:r>
    </w:p>
    <w:p>
      <w:r>
        <w:t>本研究檢驗台灣月營收公告制度是否能產生短週期、可解釋且可被風險管理的 post-disclosure repricing 機會。研究流程不是以技術指標或單一最佳化結果為起點，而是先定義市場結構、資料可得時間、訊號形成邏輯與可交易限制，再用 portfolio-level backtest 與多層 robustness gates 評估。</w:t>
      </w:r>
    </w:p>
    <w:p>
      <w:r>
        <w:t>結論上，S1 目前可被定位為 portfolio-grade v0.1 research candidate：它有清楚的基本面 surprise 邏輯與吸引人的 proxy 結果，但仍未通過 production-ready 所需的 exact timestamp、survivorship、execution fill 與 paper-trading gates。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專業定位</w:t>
            </w:r>
          </w:p>
        </w:tc>
      </w:tr>
      <w:tr>
        <w:tc>
          <w:tcPr>
            <w:tcW w:type="dxa" w:w="2045"/>
          </w:tcPr>
          <w:p>
            <w:r>
              <w:t>S1 incumbent</w:t>
            </w:r>
          </w:p>
        </w:tc>
        <w:tc>
          <w:tcPr>
            <w:tcW w:type="dxa" w:w="2045"/>
          </w:tcPr>
          <w:p>
            <w:r>
              <w:t>+167.5%</w:t>
            </w:r>
          </w:p>
        </w:tc>
        <w:tc>
          <w:tcPr>
            <w:tcW w:type="dxa" w:w="2045"/>
          </w:tcPr>
          <w:p>
            <w:r>
              <w:t>≈2.40</w:t>
            </w:r>
          </w:p>
        </w:tc>
        <w:tc>
          <w:tcPr>
            <w:tcW w:type="dxa" w:w="2045"/>
          </w:tcPr>
          <w:p>
            <w:r>
              <w:t>-7.9%</w:t>
            </w:r>
          </w:p>
        </w:tc>
        <w:tc>
          <w:tcPr>
            <w:tcW w:type="dxa" w:w="2045"/>
          </w:tcPr>
          <w:p>
            <w:r>
              <w:t>研究候選主版本；仍需 exact timing / paper trading</w:t>
            </w:r>
          </w:p>
        </w:tc>
      </w:tr>
      <w:tr>
        <w:tc>
          <w:tcPr>
            <w:tcW w:type="dxa" w:w="2045"/>
          </w:tcPr>
          <w:p>
            <w:r>
              <w:t>S1 fixed-20 comparator</w:t>
            </w:r>
          </w:p>
        </w:tc>
        <w:tc>
          <w:tcPr>
            <w:tcW w:type="dxa" w:w="2045"/>
          </w:tcPr>
          <w:p>
            <w:r>
              <w:t>+161.9%</w:t>
            </w:r>
          </w:p>
        </w:tc>
        <w:tc>
          <w:tcPr>
            <w:tcW w:type="dxa" w:w="2045"/>
          </w:tcPr>
          <w:p>
            <w:r>
              <w:t>1.55</w:t>
            </w:r>
          </w:p>
        </w:tc>
        <w:tc>
          <w:tcPr>
            <w:tcW w:type="dxa" w:w="2045"/>
          </w:tcPr>
          <w:p>
            <w:r>
              <w:t>-21.2%</w:t>
            </w:r>
          </w:p>
        </w:tc>
        <w:tc>
          <w:tcPr>
            <w:tcW w:type="dxa" w:w="2045"/>
          </w:tcPr>
          <w:p>
            <w:r>
              <w:t>最簡潔 benchmark；用來隔離 exit-rule 貢獻</w:t>
            </w:r>
          </w:p>
        </w:tc>
      </w:tr>
      <w:tr>
        <w:tc>
          <w:tcPr>
            <w:tcW w:type="dxa" w:w="2045"/>
          </w:tcPr>
          <w:p>
            <w:r>
              <w:t>Quiet boost sizing</w:t>
            </w:r>
          </w:p>
        </w:tc>
        <w:tc>
          <w:tcPr>
            <w:tcW w:type="dxa" w:w="2045"/>
          </w:tcPr>
          <w:p>
            <w:r>
              <w:t>+174.4%</w:t>
            </w:r>
          </w:p>
        </w:tc>
        <w:tc>
          <w:tcPr>
            <w:tcW w:type="dxa" w:w="2045"/>
          </w:tcPr>
          <w:p>
            <w:r>
              <w:t>1.62</w:t>
            </w:r>
          </w:p>
        </w:tc>
        <w:tc>
          <w:tcPr>
            <w:tcW w:type="dxa" w:w="2045"/>
          </w:tcPr>
          <w:p>
            <w:r>
              <w:t>-21.2%</w:t>
            </w:r>
          </w:p>
        </w:tc>
        <w:tc>
          <w:tcPr>
            <w:tcW w:type="dxa" w:w="2045"/>
          </w:tcPr>
          <w:p>
            <w:r>
              <w:t>小幅改善但 drawdown 未改善，未升級</w:t>
            </w:r>
          </w:p>
        </w:tc>
      </w:tr>
      <w:tr>
        <w:tc>
          <w:tcPr>
            <w:tcW w:type="dxa" w:w="2045"/>
          </w:tcPr>
          <w:p>
            <w:r>
              <w:t>Conservative execution proxy</w:t>
            </w:r>
          </w:p>
        </w:tc>
        <w:tc>
          <w:tcPr>
            <w:tcW w:type="dxa" w:w="2045"/>
          </w:tcPr>
          <w:p>
            <w:r>
              <w:t>+111.9%</w:t>
            </w:r>
          </w:p>
        </w:tc>
        <w:tc>
          <w:tcPr>
            <w:tcW w:type="dxa" w:w="2045"/>
          </w:tcPr>
          <w:p>
            <w:r>
              <w:t>1.24</w:t>
            </w:r>
          </w:p>
        </w:tc>
        <w:tc>
          <w:tcPr>
            <w:tcW w:type="dxa" w:w="2045"/>
          </w:tcPr>
          <w:p>
            <w:r>
              <w:t>-24.9%</w:t>
            </w:r>
          </w:p>
        </w:tc>
        <w:tc>
          <w:tcPr>
            <w:tcW w:type="dxa" w:w="2045"/>
          </w:tcPr>
          <w:p>
            <w:r>
              <w:t>next-open + 1.0% cost + non-fill stress 後 quality 下降</w:t>
            </w:r>
          </w:p>
        </w:tc>
      </w:tr>
      <w:tr>
        <w:tc>
          <w:tcPr>
            <w:tcW w:type="dxa" w:w="2045"/>
          </w:tcPr>
          <w:p>
            <w:r>
              <w:t>FRR best first-pass</w:t>
            </w:r>
          </w:p>
        </w:tc>
        <w:tc>
          <w:tcPr>
            <w:tcW w:type="dxa" w:w="2045"/>
          </w:tcPr>
          <w:p>
            <w:r>
              <w:t>+251.4%</w:t>
            </w:r>
          </w:p>
        </w:tc>
        <w:tc>
          <w:tcPr>
            <w:tcW w:type="dxa" w:w="2045"/>
          </w:tcPr>
          <w:p>
            <w:r>
              <w:t>1.55</w:t>
            </w:r>
          </w:p>
        </w:tc>
        <w:tc>
          <w:tcPr>
            <w:tcW w:type="dxa" w:w="2045"/>
          </w:tcPr>
          <w:p>
            <w:r>
              <w:t>-17.6%</w:t>
            </w:r>
          </w:p>
        </w:tc>
        <w:tc>
          <w:tcPr>
            <w:tcW w:type="dxa" w:w="2045"/>
          </w:tcPr>
          <w:p>
            <w:r>
              <w:t>新融資策略；樣本少且右尾依賴，僅診斷候選</w:t>
            </w:r>
          </w:p>
        </w:tc>
      </w:tr>
    </w:tbl>
    <w:p/>
    <w:p>
      <w:pPr>
        <w:pStyle w:val="Heading1"/>
      </w:pPr>
      <w:r>
        <w:t>02｜Research Question and Economic Rationale</w:t>
      </w:r>
    </w:p>
    <w:p>
      <w:r>
        <w:t>核心研究問題：若公司月營收出現連續性正向 surprise，市場是否會因資訊處理、產業鏈確認、法人調整持倉或散戶注意力延遲，而在公告後 10–20 個交易日內逐步重新定價？</w:t>
      </w:r>
    </w:p>
    <w:p>
      <w:r>
        <w:t>因果鏈：月營收公告制度 → 高頻基本面資訊更新 → 3M SUR persistence → 投資人預期修正 → 短週期 repricing。這個 framing 的重點是「誰因為什麼制度或行為限制而反應不足」，而不是事後挑選 K 線形狀。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研究模組</w:t>
            </w:r>
          </w:p>
        </w:tc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設計</w:t>
            </w:r>
          </w:p>
        </w:tc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業界解讀</w:t>
            </w:r>
          </w:p>
        </w:tc>
      </w:tr>
      <w:tr>
        <w:tc>
          <w:tcPr>
            <w:tcW w:type="dxa" w:w="3408"/>
          </w:tcPr>
          <w:p>
            <w:r>
              <w:t>Research question</w:t>
            </w:r>
          </w:p>
        </w:tc>
        <w:tc>
          <w:tcPr>
            <w:tcW w:type="dxa" w:w="3408"/>
          </w:tcPr>
          <w:p>
            <w:r>
              <w:t>月營收 surprise 是否造成 10–20D post-disclosure repricing？</w:t>
            </w:r>
          </w:p>
        </w:tc>
        <w:tc>
          <w:tcPr>
            <w:tcW w:type="dxa" w:w="3408"/>
          </w:tcPr>
          <w:p>
            <w:r>
              <w:t>從市場制度與資訊反應速度出發，而非指標 mining。</w:t>
            </w:r>
          </w:p>
        </w:tc>
      </w:tr>
      <w:tr>
        <w:tc>
          <w:tcPr>
            <w:tcW w:type="dxa" w:w="3408"/>
          </w:tcPr>
          <w:p>
            <w:r>
              <w:t>Signal construction</w:t>
            </w:r>
          </w:p>
        </w:tc>
        <w:tc>
          <w:tcPr>
            <w:tcW w:type="dxa" w:w="3408"/>
          </w:tcPr>
          <w:p>
            <w:r>
              <w:t>3M SUR persistence + not-overheated momentum</w:t>
            </w:r>
          </w:p>
        </w:tc>
        <w:tc>
          <w:tcPr>
            <w:tcW w:type="dxa" w:w="3408"/>
          </w:tcPr>
          <w:p>
            <w:r>
              <w:t>捕捉持續性 surprise，同時避免已過度 pricing 的標的。</w:t>
            </w:r>
          </w:p>
        </w:tc>
      </w:tr>
      <w:tr>
        <w:tc>
          <w:tcPr>
            <w:tcW w:type="dxa" w:w="3408"/>
          </w:tcPr>
          <w:p>
            <w:r>
              <w:t>Portfolio construction</w:t>
            </w:r>
          </w:p>
        </w:tc>
        <w:tc>
          <w:tcPr>
            <w:tcW w:type="dxa" w:w="3408"/>
          </w:tcPr>
          <w:p>
            <w:r>
              <w:t>Top 8, industry cap = 3, liquidity ≥ 50m TWD</w:t>
            </w:r>
          </w:p>
        </w:tc>
        <w:tc>
          <w:tcPr>
            <w:tcW w:type="dxa" w:w="3408"/>
          </w:tcPr>
          <w:p>
            <w:r>
              <w:t>降低集中度與不可交易小型股假象。</w:t>
            </w:r>
          </w:p>
        </w:tc>
      </w:tr>
      <w:tr>
        <w:tc>
          <w:tcPr>
            <w:tcW w:type="dxa" w:w="3408"/>
          </w:tcPr>
          <w:p>
            <w:r>
              <w:t>Execution assumption</w:t>
            </w:r>
          </w:p>
        </w:tc>
        <w:tc>
          <w:tcPr>
            <w:tcW w:type="dxa" w:w="3408"/>
          </w:tcPr>
          <w:p>
            <w:r>
              <w:t>next-open / delayed-entry / 1.0% cost stress</w:t>
            </w:r>
          </w:p>
        </w:tc>
        <w:tc>
          <w:tcPr>
            <w:tcW w:type="dxa" w:w="3408"/>
          </w:tcPr>
          <w:p>
            <w:r>
              <w:t>避免用 same-day 或 close proxy 過度高估。</w:t>
            </w:r>
          </w:p>
        </w:tc>
      </w:tr>
      <w:tr>
        <w:tc>
          <w:tcPr>
            <w:tcW w:type="dxa" w:w="3408"/>
          </w:tcPr>
          <w:p>
            <w:r>
              <w:t>Promotion gates</w:t>
            </w:r>
          </w:p>
        </w:tc>
        <w:tc>
          <w:tcPr>
            <w:tcW w:type="dxa" w:w="3408"/>
          </w:tcPr>
          <w:p>
            <w:r>
              <w:t>OOS, remove-winner, sector, cost, liquidity, timing, paper trading</w:t>
            </w:r>
          </w:p>
        </w:tc>
        <w:tc>
          <w:tcPr>
            <w:tcW w:type="dxa" w:w="3408"/>
          </w:tcPr>
          <w:p>
            <w:r>
              <w:t>業界式 due diligence，不以單一 Sharpe 決策。</w:t>
            </w:r>
          </w:p>
        </w:tc>
      </w:tr>
    </w:tbl>
    <w:p/>
    <w:p>
      <w:pPr>
        <w:pStyle w:val="Heading1"/>
      </w:pPr>
      <w:r>
        <w:t>03｜Data, Timing Controls, and Backtest Design</w:t>
      </w:r>
    </w:p>
    <w:p>
      <w:r>
        <w:t>資料使用官方月營收、每日價格 / 成交金額、官方 daily raw JSON、OHLC / limit parser，以及後續新增的官方融資餘額。所有資料都必須區分 event month、data-available date、signal date、trade date。由於目前歷史月營收仍缺完整公司級公告 timestamp，本報告不宣稱 same-day tradability。</w:t>
      </w:r>
    </w:p>
    <w:p>
      <w:r>
        <w:t>Portfolio construction 採用 Top 8、industry cap、liquidity threshold 與成本假設，避免績效只來自不可交易小型股或單一產業集中。策略 promotion 需要同時通過年分切分、walk-forward、remove-winner、sector survival、流動性與 execution realism，而不是只看 full-sample Sharpe。</w:t>
      </w:r>
    </w:p>
    <w:p>
      <w:pPr>
        <w:pStyle w:val="Heading1"/>
      </w:pPr>
      <w:r>
        <w:t>04｜Empirical Findings and Interpretation</w:t>
      </w:r>
    </w:p>
    <w:p>
      <w:r>
        <w:drawing>
          <wp:inline xmlns:a="http://schemas.openxmlformats.org/drawingml/2006/main" xmlns:pic="http://schemas.openxmlformats.org/drawingml/2006/picture">
            <wp:extent cx="6035040" cy="3520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nav_drawdown_z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S1 NAV 與 Drawdown：觀察策略累積績效、回撤深度與修復能力；這是 proxy backtest，不代表實盤可複製績效。</w:t>
      </w:r>
    </w:p>
    <w:p>
      <w:r>
        <w:drawing>
          <wp:inline xmlns:a="http://schemas.openxmlformats.org/drawingml/2006/main" xmlns:pic="http://schemas.openxmlformats.org/drawingml/2006/picture">
            <wp:extent cx="603504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monthly_returns_is_oos_z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月報酬與 IS/OOS 切分：檢查績效是否集中在少數月份，以及 2025 test 是否仍有正貢獻。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035040" cy="4023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search_sharpe_mdd_scatter_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策略搜尋 Sharpe vs MDD：業界評估不只看最高 Sharpe，也要同時看 drawdown、穩健性與可解釋性。</w:t>
      </w:r>
    </w:p>
    <w:p>
      <w:r>
        <w:drawing>
          <wp:inline xmlns:a="http://schemas.openxmlformats.org/drawingml/2006/main" xmlns:pic="http://schemas.openxmlformats.org/drawingml/2006/picture">
            <wp:extent cx="603504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variants_sharpe_vs_remove5_z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Top variants vs remove-top-5：檢查高績效版本是否由少數大贏家支撐。</w:t>
      </w:r>
    </w:p>
    <w:p>
      <w:r>
        <w:drawing>
          <wp:inline xmlns:a="http://schemas.openxmlformats.org/drawingml/2006/main" xmlns:pic="http://schemas.openxmlformats.org/drawingml/2006/picture">
            <wp:extent cx="6035040" cy="301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_winners_sharpe_decay_z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Remove-winners Sharpe decay：right-tail dependence 是目前最需要揭露與管理的風險。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035040" cy="2514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2_walkforward_oos_nav_z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Walk-forward OOS NAV：train-selected rule 未穩定擊敗固定 S1，支持保留簡潔 incumbent 而非過度調參。</w:t>
      </w:r>
    </w:p>
    <w:p>
      <w:r>
        <w:drawing>
          <wp:inline xmlns:a="http://schemas.openxmlformats.org/drawingml/2006/main" xmlns:pic="http://schemas.openxmlformats.org/drawingml/2006/picture">
            <wp:extent cx="6035040" cy="3017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2_sector_survival_z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Sector survival：電子 / 半導體供應鏈解釋較強，no-semiconductor 明顯轉弱，不能宣稱 broad-market alpha。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03504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7_quiet_digestion_nav_z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Quiet digestion：作為市場消化基本面 surprise 的狀態變數有研究價值，但 standalone 交易數少。</w:t>
      </w:r>
    </w:p>
    <w:p>
      <w:r>
        <w:drawing>
          <wp:inline xmlns:a="http://schemas.openxmlformats.org/drawingml/2006/main" xmlns:pic="http://schemas.openxmlformats.org/drawingml/2006/picture">
            <wp:extent cx="603504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8_dynamic_sizing_nav_z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Dynamic sizing：quiet boost 小幅改善，但未改善 drawdown 到足以 promotion。</w:t>
      </w:r>
    </w:p>
    <w:p>
      <w:r>
        <w:t>整體來看，S1 的吸引力來自「結果、解釋性與簡潔度」的平衡；更複雜的 quiet digestion / dynamic sizing 版本雖然局部改善報酬，但未能穩定改善 drawdown 或 OOS robustness，因此不應取代 incumbent。</w:t>
      </w:r>
    </w:p>
    <w:p>
      <w:pPr>
        <w:pStyle w:val="Heading1"/>
      </w:pPr>
      <w:r>
        <w:t>05｜FRR 融資清洗反彈：新增策略研究結論</w:t>
      </w:r>
    </w:p>
    <w:p>
      <w:r>
        <w:t>FRR 測試另一條市場結構邏輯：強基本面股票若經歷融資去槓桿，短期槓桿賣壓釋放後可能反彈。第一輪結果顯示「融資下降 + 放量換手」比單純不破低更有訊號，但樣本少、remove-winner 脆弱、高流動性版本弱化，因此目前只能保留為 S1 的 timing / sizing diagnostic。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0F172A"/>
          </w:tcPr>
          <w:p>
            <w:r>
              <w:rPr>
                <w:b/>
                <w:color w:val="FFFFFF"/>
              </w:rPr>
              <w:t>Variant</w:t>
            </w:r>
          </w:p>
        </w:tc>
        <w:tc>
          <w:tcPr>
            <w:tcW w:type="dxa" w:w="1461"/>
            <w:shd w:fill="0F172A"/>
          </w:tcPr>
          <w:p>
            <w:r>
              <w:rPr>
                <w:b/>
                <w:color w:val="FFFFFF"/>
              </w:rPr>
              <w:t>Delay</w:t>
            </w:r>
          </w:p>
        </w:tc>
        <w:tc>
          <w:tcPr>
            <w:tcW w:type="dxa" w:w="1461"/>
            <w:shd w:fill="0F172A"/>
          </w:tcPr>
          <w:p>
            <w:r>
              <w:rPr>
                <w:b/>
                <w:color w:val="FFFFFF"/>
              </w:rPr>
              <w:t>Hold</w:t>
            </w:r>
          </w:p>
        </w:tc>
        <w:tc>
          <w:tcPr>
            <w:tcW w:type="dxa" w:w="1461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1461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1461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  <w:tc>
          <w:tcPr>
            <w:tcW w:type="dxa" w:w="1461"/>
            <w:shd w:fill="0F172A"/>
          </w:tcPr>
          <w:p>
            <w:r>
              <w:rPr>
                <w:b/>
                <w:color w:val="FFFFFF"/>
              </w:rPr>
              <w:t>Trades</w:t>
            </w:r>
          </w:p>
        </w:tc>
      </w:tr>
      <w:tr>
        <w:tc>
          <w:tcPr>
            <w:tcW w:type="dxa" w:w="1461"/>
          </w:tcPr>
          <w:p>
            <w:r>
              <w:t>frr3 volume absorption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20</w:t>
            </w:r>
          </w:p>
        </w:tc>
        <w:tc>
          <w:tcPr>
            <w:tcW w:type="dxa" w:w="1461"/>
          </w:tcPr>
          <w:p>
            <w:r>
              <w:t>251.4%</w:t>
            </w:r>
          </w:p>
        </w:tc>
        <w:tc>
          <w:tcPr>
            <w:tcW w:type="dxa" w:w="1461"/>
          </w:tcPr>
          <w:p>
            <w:r>
              <w:t>1.55</w:t>
            </w:r>
          </w:p>
        </w:tc>
        <w:tc>
          <w:tcPr>
            <w:tcW w:type="dxa" w:w="1461"/>
          </w:tcPr>
          <w:p>
            <w:r>
              <w:t>-17.6%</w:t>
            </w:r>
          </w:p>
        </w:tc>
        <w:tc>
          <w:tcPr>
            <w:tcW w:type="dxa" w:w="1461"/>
          </w:tcPr>
          <w:p>
            <w:r>
              <w:t>21</w:t>
            </w:r>
          </w:p>
        </w:tc>
      </w:tr>
      <w:tr>
        <w:tc>
          <w:tcPr>
            <w:tcW w:type="dxa" w:w="1461"/>
          </w:tcPr>
          <w:p>
            <w:r>
              <w:t>frr3 volume absorption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20</w:t>
            </w:r>
          </w:p>
        </w:tc>
        <w:tc>
          <w:tcPr>
            <w:tcW w:type="dxa" w:w="1461"/>
          </w:tcPr>
          <w:p>
            <w:r>
              <w:t>223.8%</w:t>
            </w:r>
          </w:p>
        </w:tc>
        <w:tc>
          <w:tcPr>
            <w:tcW w:type="dxa" w:w="1461"/>
          </w:tcPr>
          <w:p>
            <w:r>
              <w:t>1.43</w:t>
            </w:r>
          </w:p>
        </w:tc>
        <w:tc>
          <w:tcPr>
            <w:tcW w:type="dxa" w:w="1461"/>
          </w:tcPr>
          <w:p>
            <w:r>
              <w:t>-19.0%</w:t>
            </w:r>
          </w:p>
        </w:tc>
        <w:tc>
          <w:tcPr>
            <w:tcW w:type="dxa" w:w="1461"/>
          </w:tcPr>
          <w:p>
            <w:r>
              <w:t>21</w:t>
            </w:r>
          </w:p>
        </w:tc>
      </w:tr>
      <w:tr>
        <w:tc>
          <w:tcPr>
            <w:tcW w:type="dxa" w:w="1461"/>
          </w:tcPr>
          <w:p>
            <w:r>
              <w:t>frr3 volume absorption</w:t>
            </w:r>
          </w:p>
        </w:tc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20</w:t>
            </w:r>
          </w:p>
        </w:tc>
        <w:tc>
          <w:tcPr>
            <w:tcW w:type="dxa" w:w="1461"/>
          </w:tcPr>
          <w:p>
            <w:r>
              <w:t>179.1%</w:t>
            </w:r>
          </w:p>
        </w:tc>
        <w:tc>
          <w:tcPr>
            <w:tcW w:type="dxa" w:w="1461"/>
          </w:tcPr>
          <w:p>
            <w:r>
              <w:t>1.39</w:t>
            </w:r>
          </w:p>
        </w:tc>
        <w:tc>
          <w:tcPr>
            <w:tcW w:type="dxa" w:w="1461"/>
          </w:tcPr>
          <w:p>
            <w:r>
              <w:t>-16.6%</w:t>
            </w:r>
          </w:p>
        </w:tc>
        <w:tc>
          <w:tcPr>
            <w:tcW w:type="dxa" w:w="1461"/>
          </w:tcPr>
          <w:p>
            <w:r>
              <w:t>21</w:t>
            </w:r>
          </w:p>
        </w:tc>
      </w:tr>
      <w:tr>
        <w:tc>
          <w:tcPr>
            <w:tcW w:type="dxa" w:w="1461"/>
          </w:tcPr>
          <w:p>
            <w:r>
              <w:t>frr1 basic deleveraging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20</w:t>
            </w:r>
          </w:p>
        </w:tc>
        <w:tc>
          <w:tcPr>
            <w:tcW w:type="dxa" w:w="1461"/>
          </w:tcPr>
          <w:p>
            <w:r>
              <w:t>184.8%</w:t>
            </w:r>
          </w:p>
        </w:tc>
        <w:tc>
          <w:tcPr>
            <w:tcW w:type="dxa" w:w="1461"/>
          </w:tcPr>
          <w:p>
            <w:r>
              <w:t>1.32</w:t>
            </w:r>
          </w:p>
        </w:tc>
        <w:tc>
          <w:tcPr>
            <w:tcW w:type="dxa" w:w="1461"/>
          </w:tcPr>
          <w:p>
            <w:r>
              <w:t>-22.3%</w:t>
            </w:r>
          </w:p>
        </w:tc>
        <w:tc>
          <w:tcPr>
            <w:tcW w:type="dxa" w:w="1461"/>
          </w:tcPr>
          <w:p>
            <w:r>
              <w:t>42</w:t>
            </w:r>
          </w:p>
        </w:tc>
      </w:tr>
      <w:tr>
        <w:tc>
          <w:tcPr>
            <w:tcW w:type="dxa" w:w="1461"/>
          </w:tcPr>
          <w:p>
            <w:r>
              <w:t>frr1 basic deleveraging</w:t>
            </w:r>
          </w:p>
        </w:tc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20</w:t>
            </w:r>
          </w:p>
        </w:tc>
        <w:tc>
          <w:tcPr>
            <w:tcW w:type="dxa" w:w="1461"/>
          </w:tcPr>
          <w:p>
            <w:r>
              <w:t>159.4%</w:t>
            </w:r>
          </w:p>
        </w:tc>
        <w:tc>
          <w:tcPr>
            <w:tcW w:type="dxa" w:w="1461"/>
          </w:tcPr>
          <w:p>
            <w:r>
              <w:t>1.26</w:t>
            </w:r>
          </w:p>
        </w:tc>
        <w:tc>
          <w:tcPr>
            <w:tcW w:type="dxa" w:w="1461"/>
          </w:tcPr>
          <w:p>
            <w:r>
              <w:t>-18.7%</w:t>
            </w:r>
          </w:p>
        </w:tc>
        <w:tc>
          <w:tcPr>
            <w:tcW w:type="dxa" w:w="1461"/>
          </w:tcPr>
          <w:p>
            <w:r>
              <w:t>42</w:t>
            </w:r>
          </w:p>
        </w:tc>
      </w:tr>
      <w:tr>
        <w:tc>
          <w:tcPr>
            <w:tcW w:type="dxa" w:w="1461"/>
          </w:tcPr>
          <w:p>
            <w:r>
              <w:t>frr2 no catch falling knife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78.7%</w:t>
            </w:r>
          </w:p>
        </w:tc>
        <w:tc>
          <w:tcPr>
            <w:tcW w:type="dxa" w:w="1461"/>
          </w:tcPr>
          <w:p>
            <w:r>
              <w:t>1.18</w:t>
            </w:r>
          </w:p>
        </w:tc>
        <w:tc>
          <w:tcPr>
            <w:tcW w:type="dxa" w:w="1461"/>
          </w:tcPr>
          <w:p>
            <w:r>
              <w:t>-15.2%</w:t>
            </w:r>
          </w:p>
        </w:tc>
        <w:tc>
          <w:tcPr>
            <w:tcW w:type="dxa" w:w="1461"/>
          </w:tcPr>
          <w:p>
            <w:r>
              <w:t>36</w:t>
            </w:r>
          </w:p>
        </w:tc>
      </w:tr>
      <w:tr>
        <w:tc>
          <w:tcPr>
            <w:tcW w:type="dxa" w:w="1461"/>
          </w:tcPr>
          <w:p>
            <w:r>
              <w:t>frr1 basic deleveraging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20</w:t>
            </w:r>
          </w:p>
        </w:tc>
        <w:tc>
          <w:tcPr>
            <w:tcW w:type="dxa" w:w="1461"/>
          </w:tcPr>
          <w:p>
            <w:r>
              <w:t>157.7%</w:t>
            </w:r>
          </w:p>
        </w:tc>
        <w:tc>
          <w:tcPr>
            <w:tcW w:type="dxa" w:w="1461"/>
          </w:tcPr>
          <w:p>
            <w:r>
              <w:t>1.16</w:t>
            </w:r>
          </w:p>
        </w:tc>
        <w:tc>
          <w:tcPr>
            <w:tcW w:type="dxa" w:w="1461"/>
          </w:tcPr>
          <w:p>
            <w:r>
              <w:t>-27.5%</w:t>
            </w:r>
          </w:p>
        </w:tc>
        <w:tc>
          <w:tcPr>
            <w:tcW w:type="dxa" w:w="1461"/>
          </w:tcPr>
          <w:p>
            <w:r>
              <w:t>42</w:t>
            </w:r>
          </w:p>
        </w:tc>
      </w:tr>
      <w:tr>
        <w:tc>
          <w:tcPr>
            <w:tcW w:type="dxa" w:w="1461"/>
          </w:tcPr>
          <w:p>
            <w:r>
              <w:t>frr2 no catch falling knife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20</w:t>
            </w:r>
          </w:p>
        </w:tc>
        <w:tc>
          <w:tcPr>
            <w:tcW w:type="dxa" w:w="1461"/>
          </w:tcPr>
          <w:p>
            <w:r>
              <w:t>132.6%</w:t>
            </w:r>
          </w:p>
        </w:tc>
        <w:tc>
          <w:tcPr>
            <w:tcW w:type="dxa" w:w="1461"/>
          </w:tcPr>
          <w:p>
            <w:r>
              <w:t>1.13</w:t>
            </w:r>
          </w:p>
        </w:tc>
        <w:tc>
          <w:tcPr>
            <w:tcW w:type="dxa" w:w="1461"/>
          </w:tcPr>
          <w:p>
            <w:r>
              <w:t>-17.7%</w:t>
            </w:r>
          </w:p>
        </w:tc>
        <w:tc>
          <w:tcPr>
            <w:tcW w:type="dxa" w:w="1461"/>
          </w:tcPr>
          <w:p>
            <w:r>
              <w:t>36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035040" cy="31181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top_sharpe_z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FRR Top Sharpe：融資清洗反彈有訊號，但最佳 Sharpe 仍低於 S1，且交易數偏少。</w:t>
      </w:r>
    </w:p>
    <w:p>
      <w:r>
        <w:drawing>
          <wp:inline xmlns:a="http://schemas.openxmlformats.org/drawingml/2006/main" xmlns:pic="http://schemas.openxmlformats.org/drawingml/2006/picture">
            <wp:extent cx="6035040" cy="33336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remove_winner_z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3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FRR remove-winner stress：移除 top winners 後快速轉弱，不能作為 S1 替代策略。</w:t>
      </w:r>
    </w:p>
    <w:p>
      <w:r>
        <w:drawing>
          <wp:inline xmlns:a="http://schemas.openxmlformats.org/drawingml/2006/main" xmlns:pic="http://schemas.openxmlformats.org/drawingml/2006/picture">
            <wp:extent cx="6035040" cy="33336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sector_z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3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FRR sector survival：部分非半導體訊號存在，但樣本不足，適合作為 timing / sizing diagnostic。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Variant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Remove top N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</w:tr>
      <w:tr>
        <w:tc>
          <w:tcPr>
            <w:tcW w:type="dxa" w:w="2045"/>
          </w:tcPr>
          <w:p>
            <w:r>
              <w:t>frr2 no catch falling knife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90.4%</w:t>
            </w:r>
          </w:p>
        </w:tc>
        <w:tc>
          <w:tcPr>
            <w:tcW w:type="dxa" w:w="2045"/>
          </w:tcPr>
          <w:p>
            <w:r>
              <w:t>0.94</w:t>
            </w:r>
          </w:p>
        </w:tc>
        <w:tc>
          <w:tcPr>
            <w:tcW w:type="dxa" w:w="2045"/>
          </w:tcPr>
          <w:p>
            <w:r>
              <w:t>-18.0%</w:t>
            </w:r>
          </w:p>
        </w:tc>
      </w:tr>
      <w:tr>
        <w:tc>
          <w:tcPr>
            <w:tcW w:type="dxa" w:w="2045"/>
          </w:tcPr>
          <w:p>
            <w:r>
              <w:t>frr2 no catch falling knife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3.4%</w:t>
            </w:r>
          </w:p>
        </w:tc>
        <w:tc>
          <w:tcPr>
            <w:tcW w:type="dxa" w:w="2045"/>
          </w:tcPr>
          <w:p>
            <w:r>
              <w:t>0.19</w:t>
            </w:r>
          </w:p>
        </w:tc>
        <w:tc>
          <w:tcPr>
            <w:tcW w:type="dxa" w:w="2045"/>
          </w:tcPr>
          <w:p>
            <w:r>
              <w:t>-18.0%</w:t>
            </w:r>
          </w:p>
        </w:tc>
      </w:tr>
      <w:tr>
        <w:tc>
          <w:tcPr>
            <w:tcW w:type="dxa" w:w="2045"/>
          </w:tcPr>
          <w:p>
            <w:r>
              <w:t>frr2 no catch falling knife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-39.1%</w:t>
            </w:r>
          </w:p>
        </w:tc>
        <w:tc>
          <w:tcPr>
            <w:tcW w:type="dxa" w:w="2045"/>
          </w:tcPr>
          <w:p>
            <w:r>
              <w:t>-1.03</w:t>
            </w:r>
          </w:p>
        </w:tc>
        <w:tc>
          <w:tcPr>
            <w:tcW w:type="dxa" w:w="2045"/>
          </w:tcPr>
          <w:p>
            <w:r>
              <w:t>-39.1%</w:t>
            </w:r>
          </w:p>
        </w:tc>
      </w:tr>
      <w:tr>
        <w:tc>
          <w:tcPr>
            <w:tcW w:type="dxa" w:w="2045"/>
          </w:tcPr>
          <w:p>
            <w:r>
              <w:t>frr2 no catch falling knife</w:t>
            </w:r>
          </w:p>
        </w:tc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-56.5%</w:t>
            </w:r>
          </w:p>
        </w:tc>
        <w:tc>
          <w:tcPr>
            <w:tcW w:type="dxa" w:w="2045"/>
          </w:tcPr>
          <w:p>
            <w:r>
              <w:t>-2.25</w:t>
            </w:r>
          </w:p>
        </w:tc>
        <w:tc>
          <w:tcPr>
            <w:tcW w:type="dxa" w:w="2045"/>
          </w:tcPr>
          <w:p>
            <w:r>
              <w:t>-56.5%</w:t>
            </w:r>
          </w:p>
        </w:tc>
      </w:tr>
      <w:tr>
        <w:tc>
          <w:tcPr>
            <w:tcW w:type="dxa" w:w="2045"/>
          </w:tcPr>
          <w:p>
            <w:r>
              <w:t>frr3 volume absorption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179.1%</w:t>
            </w:r>
          </w:p>
        </w:tc>
        <w:tc>
          <w:tcPr>
            <w:tcW w:type="dxa" w:w="2045"/>
          </w:tcPr>
          <w:p>
            <w:r>
              <w:t>1.39</w:t>
            </w:r>
          </w:p>
        </w:tc>
        <w:tc>
          <w:tcPr>
            <w:tcW w:type="dxa" w:w="2045"/>
          </w:tcPr>
          <w:p>
            <w:r>
              <w:t>-16.6%</w:t>
            </w:r>
          </w:p>
        </w:tc>
      </w:tr>
      <w:tr>
        <w:tc>
          <w:tcPr>
            <w:tcW w:type="dxa" w:w="2045"/>
          </w:tcPr>
          <w:p>
            <w:r>
              <w:t>frr3 volume absorption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30.1%</w:t>
            </w:r>
          </w:p>
        </w:tc>
        <w:tc>
          <w:tcPr>
            <w:tcW w:type="dxa" w:w="2045"/>
          </w:tcPr>
          <w:p>
            <w:r>
              <w:t>0.61</w:t>
            </w:r>
          </w:p>
        </w:tc>
        <w:tc>
          <w:tcPr>
            <w:tcW w:type="dxa" w:w="2045"/>
          </w:tcPr>
          <w:p>
            <w:r>
              <w:t>-21.8%</w:t>
            </w:r>
          </w:p>
        </w:tc>
      </w:tr>
      <w:tr>
        <w:tc>
          <w:tcPr>
            <w:tcW w:type="dxa" w:w="2045"/>
          </w:tcPr>
          <w:p>
            <w:r>
              <w:t>frr3 volume absorption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-26.4%</w:t>
            </w:r>
          </w:p>
        </w:tc>
        <w:tc>
          <w:tcPr>
            <w:tcW w:type="dxa" w:w="2045"/>
          </w:tcPr>
          <w:p>
            <w:r>
              <w:t>-0.85</w:t>
            </w:r>
          </w:p>
        </w:tc>
        <w:tc>
          <w:tcPr>
            <w:tcW w:type="dxa" w:w="2045"/>
          </w:tcPr>
          <w:p>
            <w:r>
              <w:t>-28.5%</w:t>
            </w:r>
          </w:p>
        </w:tc>
      </w:tr>
      <w:tr>
        <w:tc>
          <w:tcPr>
            <w:tcW w:type="dxa" w:w="2045"/>
          </w:tcPr>
          <w:p>
            <w:r>
              <w:t>frr3 volume absorption</w:t>
            </w:r>
          </w:p>
        </w:tc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-21.1%</w:t>
            </w:r>
          </w:p>
        </w:tc>
        <w:tc>
          <w:tcPr>
            <w:tcW w:type="dxa" w:w="2045"/>
          </w:tcPr>
          <w:p>
            <w:r>
              <w:t>-0.69</w:t>
            </w:r>
          </w:p>
        </w:tc>
        <w:tc>
          <w:tcPr>
            <w:tcW w:type="dxa" w:w="2045"/>
          </w:tcPr>
          <w:p>
            <w:r>
              <w:t>-21.1%</w:t>
            </w:r>
          </w:p>
        </w:tc>
      </w:tr>
    </w:tbl>
    <w:p/>
    <w:p>
      <w:pPr>
        <w:pStyle w:val="Heading1"/>
      </w:pPr>
      <w:r>
        <w:t>06｜Due Diligence: Risks and Non-promotion Rationale</w:t>
      </w:r>
    </w:p>
    <w:p>
      <w:r>
        <w:t>業界報告最重要的是把限制講清楚。這個專案的價值不在於宣稱策略已可實盤，而在於展示完整 research-to-validation workflow，並且能誠實拒絕沒有通過 gate 的版本。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風險</w:t>
            </w:r>
          </w:p>
        </w:tc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目前狀態</w:t>
            </w:r>
          </w:p>
        </w:tc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對研究結論的影響</w:t>
            </w:r>
          </w:p>
        </w:tc>
      </w:tr>
      <w:tr>
        <w:tc>
          <w:tcPr>
            <w:tcW w:type="dxa" w:w="3408"/>
          </w:tcPr>
          <w:p>
            <w:r>
              <w:t>Data timing risk</w:t>
            </w:r>
          </w:p>
        </w:tc>
        <w:tc>
          <w:tcPr>
            <w:tcW w:type="dxa" w:w="3408"/>
          </w:tcPr>
          <w:p>
            <w:r>
              <w:t>缺完整公司級公告 timestamp</w:t>
            </w:r>
          </w:p>
        </w:tc>
        <w:tc>
          <w:tcPr>
            <w:tcW w:type="dxa" w:w="3408"/>
          </w:tcPr>
          <w:p>
            <w:r>
              <w:t>不能宣稱 same-day tradability；需補精確公告時間。</w:t>
            </w:r>
          </w:p>
        </w:tc>
      </w:tr>
      <w:tr>
        <w:tc>
          <w:tcPr>
            <w:tcW w:type="dxa" w:w="3408"/>
          </w:tcPr>
          <w:p>
            <w:r>
              <w:t>Survivorship risk</w:t>
            </w:r>
          </w:p>
        </w:tc>
        <w:tc>
          <w:tcPr>
            <w:tcW w:type="dxa" w:w="3408"/>
          </w:tcPr>
          <w:p>
            <w:r>
              <w:t>歷史 universe / 下市資料仍需加強</w:t>
            </w:r>
          </w:p>
        </w:tc>
        <w:tc>
          <w:tcPr>
            <w:tcW w:type="dxa" w:w="3408"/>
          </w:tcPr>
          <w:p>
            <w:r>
              <w:t>目前結果可能受樣本可得性影響。</w:t>
            </w:r>
          </w:p>
        </w:tc>
      </w:tr>
      <w:tr>
        <w:tc>
          <w:tcPr>
            <w:tcW w:type="dxa" w:w="3408"/>
          </w:tcPr>
          <w:p>
            <w:r>
              <w:t>Sector concentration</w:t>
            </w:r>
          </w:p>
        </w:tc>
        <w:tc>
          <w:tcPr>
            <w:tcW w:type="dxa" w:w="3408"/>
          </w:tcPr>
          <w:p>
            <w:r>
              <w:t>電子 / 半導體供應鏈依賴明顯</w:t>
            </w:r>
          </w:p>
        </w:tc>
        <w:tc>
          <w:tcPr>
            <w:tcW w:type="dxa" w:w="3408"/>
          </w:tcPr>
          <w:p>
            <w:r>
              <w:t>策略定位應限縮為 supply-chain repricing candidate。</w:t>
            </w:r>
          </w:p>
        </w:tc>
      </w:tr>
      <w:tr>
        <w:tc>
          <w:tcPr>
            <w:tcW w:type="dxa" w:w="3408"/>
          </w:tcPr>
          <w:p>
            <w:r>
              <w:t>Right-tail dependence</w:t>
            </w:r>
          </w:p>
        </w:tc>
        <w:tc>
          <w:tcPr>
            <w:tcW w:type="dxa" w:w="3408"/>
          </w:tcPr>
          <w:p>
            <w:r>
              <w:t>remove-winner 後 Sharpe 衰退</w:t>
            </w:r>
          </w:p>
        </w:tc>
        <w:tc>
          <w:tcPr>
            <w:tcW w:type="dxa" w:w="3408"/>
          </w:tcPr>
          <w:p>
            <w:r>
              <w:t>需要 sizing、capacity 與 risk budget 管控。</w:t>
            </w:r>
          </w:p>
        </w:tc>
      </w:tr>
      <w:tr>
        <w:tc>
          <w:tcPr>
            <w:tcW w:type="dxa" w:w="3408"/>
          </w:tcPr>
          <w:p>
            <w:r>
              <w:t>Execution risk</w:t>
            </w:r>
          </w:p>
        </w:tc>
        <w:tc>
          <w:tcPr>
            <w:tcW w:type="dxa" w:w="3408"/>
          </w:tcPr>
          <w:p>
            <w:r>
              <w:t>漲停不可成交、滑價、開盤跳空</w:t>
            </w:r>
          </w:p>
        </w:tc>
        <w:tc>
          <w:tcPr>
            <w:tcW w:type="dxa" w:w="3408"/>
          </w:tcPr>
          <w:p>
            <w:r>
              <w:t>紙上績效可能高於實際可執行績效。</w:t>
            </w:r>
          </w:p>
        </w:tc>
      </w:tr>
      <w:tr>
        <w:tc>
          <w:tcPr>
            <w:tcW w:type="dxa" w:w="3408"/>
          </w:tcPr>
          <w:p>
            <w:r>
              <w:t>Overfitting risk</w:t>
            </w:r>
          </w:p>
        </w:tc>
        <w:tc>
          <w:tcPr>
            <w:tcW w:type="dxa" w:w="3408"/>
          </w:tcPr>
          <w:p>
            <w:r>
              <w:t>多輪參數搜尋容易追逐樣本內 winners</w:t>
            </w:r>
          </w:p>
        </w:tc>
        <w:tc>
          <w:tcPr>
            <w:tcW w:type="dxa" w:w="3408"/>
          </w:tcPr>
          <w:p>
            <w:r>
              <w:t>保留簡潔 S1，不盲目升級複雜版本。</w:t>
            </w:r>
          </w:p>
        </w:tc>
      </w:tr>
    </w:tbl>
    <w:p/>
    <w:p>
      <w:pPr>
        <w:pStyle w:val="Heading1"/>
      </w:pPr>
      <w:r>
        <w:t>07｜Paper Trading and Production Gate Plan</w:t>
      </w:r>
    </w:p>
    <w:p>
      <w:r>
        <w:t>下一階段不應繼續盲目擴大參數搜尋，而應轉向 paper-trading validation。Paper trading 的目的是驗證資料更新時間、訊號生成時間、實際可成交性、滑價、non-fill 與回測假設是否一致。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流程</w:t>
            </w:r>
          </w:p>
        </w:tc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記錄欄位 / 動作</w:t>
            </w:r>
          </w:p>
        </w:tc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驗證目的</w:t>
            </w:r>
          </w:p>
        </w:tc>
      </w:tr>
      <w:tr>
        <w:tc>
          <w:tcPr>
            <w:tcW w:type="dxa" w:w="3408"/>
          </w:tcPr>
          <w:p>
            <w:r>
              <w:t>Daily process</w:t>
            </w:r>
          </w:p>
        </w:tc>
        <w:tc>
          <w:tcPr>
            <w:tcW w:type="dxa" w:w="3408"/>
          </w:tcPr>
          <w:p>
            <w:r>
              <w:t>盤後更新營收 / 市場 / 融資資料，生成 next-day candidate list</w:t>
            </w:r>
          </w:p>
        </w:tc>
        <w:tc>
          <w:tcPr>
            <w:tcW w:type="dxa" w:w="3408"/>
          </w:tcPr>
          <w:p>
            <w:r>
              <w:t>檢查資料真的能在預期時間取得。</w:t>
            </w:r>
          </w:p>
        </w:tc>
      </w:tr>
      <w:tr>
        <w:tc>
          <w:tcPr>
            <w:tcW w:type="dxa" w:w="3408"/>
          </w:tcPr>
          <w:p>
            <w:r>
              <w:t>Timestamp log</w:t>
            </w:r>
          </w:p>
        </w:tc>
        <w:tc>
          <w:tcPr>
            <w:tcW w:type="dxa" w:w="3408"/>
          </w:tcPr>
          <w:p>
            <w:r>
              <w:t>data_observed_at, signal_generated_at, planned_entry_date</w:t>
            </w:r>
          </w:p>
        </w:tc>
        <w:tc>
          <w:tcPr>
            <w:tcW w:type="dxa" w:w="3408"/>
          </w:tcPr>
          <w:p>
            <w:r>
              <w:t>驗證 anti-look-ahead 與 operational workflow。</w:t>
            </w:r>
          </w:p>
        </w:tc>
      </w:tr>
      <w:tr>
        <w:tc>
          <w:tcPr>
            <w:tcW w:type="dxa" w:w="3408"/>
          </w:tcPr>
          <w:p>
            <w:r>
              <w:t>Execution log</w:t>
            </w:r>
          </w:p>
        </w:tc>
        <w:tc>
          <w:tcPr>
            <w:tcW w:type="dxa" w:w="3408"/>
          </w:tcPr>
          <w:p>
            <w:r>
              <w:t>planned open/close entry, actual tradability, non-fill reason, slippage</w:t>
            </w:r>
          </w:p>
        </w:tc>
        <w:tc>
          <w:tcPr>
            <w:tcW w:type="dxa" w:w="3408"/>
          </w:tcPr>
          <w:p>
            <w:r>
              <w:t>量化 non-fill 與滑價偏差。</w:t>
            </w:r>
          </w:p>
        </w:tc>
      </w:tr>
      <w:tr>
        <w:tc>
          <w:tcPr>
            <w:tcW w:type="dxa" w:w="3408"/>
          </w:tcPr>
          <w:p>
            <w:r>
              <w:t>Outcome review</w:t>
            </w:r>
          </w:p>
        </w:tc>
        <w:tc>
          <w:tcPr>
            <w:tcW w:type="dxa" w:w="3408"/>
          </w:tcPr>
          <w:p>
            <w:r>
              <w:t>5D / 10D / 20D return, benchmark excess, assumption drift</w:t>
            </w:r>
          </w:p>
        </w:tc>
        <w:tc>
          <w:tcPr>
            <w:tcW w:type="dxa" w:w="3408"/>
          </w:tcPr>
          <w:p>
            <w:r>
              <w:t>比較 paper trade 與 backtest 假設。</w:t>
            </w:r>
          </w:p>
        </w:tc>
      </w:tr>
      <w:tr>
        <w:tc>
          <w:tcPr>
            <w:tcW w:type="dxa" w:w="3408"/>
          </w:tcPr>
          <w:p>
            <w:r>
              <w:t>Monthly review</w:t>
            </w:r>
          </w:p>
        </w:tc>
        <w:tc>
          <w:tcPr>
            <w:tcW w:type="dxa" w:w="3408"/>
          </w:tcPr>
          <w:p>
            <w:r>
              <w:t>winner concentration, sector exposure, liquidity, cost drift</w:t>
            </w:r>
          </w:p>
        </w:tc>
        <w:tc>
          <w:tcPr>
            <w:tcW w:type="dxa" w:w="3408"/>
          </w:tcPr>
          <w:p>
            <w:r>
              <w:t>決定是否進入下一個 research gate。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下一步</w:t>
            </w:r>
          </w:p>
        </w:tc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目的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補公司級 exact announcement timestamp</w:t>
            </w:r>
          </w:p>
        </w:tc>
        <w:tc>
          <w:tcPr>
            <w:tcW w:type="dxa" w:w="3408"/>
          </w:tcPr>
          <w:p>
            <w:r>
              <w:t>判斷真正 earliest tradable date。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加強 historical universe / survivorship control</w:t>
            </w:r>
          </w:p>
        </w:tc>
        <w:tc>
          <w:tcPr>
            <w:tcW w:type="dxa" w:w="3408"/>
          </w:tcPr>
          <w:p>
            <w:r>
              <w:t>提高研究可信度。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建立 auction / limit-up fill realism</w:t>
            </w:r>
          </w:p>
        </w:tc>
        <w:tc>
          <w:tcPr>
            <w:tcW w:type="dxa" w:w="3408"/>
          </w:tcPr>
          <w:p>
            <w:r>
              <w:t>處理台股漲跌停與開盤跳空。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3–6 個月 paper trading</w:t>
            </w:r>
          </w:p>
        </w:tc>
        <w:tc>
          <w:tcPr>
            <w:tcW w:type="dxa" w:w="3408"/>
          </w:tcPr>
          <w:p>
            <w:r>
              <w:t>驗證資料更新、可成交性、滑價與策略穩定性。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測 FRR as S1 sizing diagnostic</w:t>
            </w:r>
          </w:p>
        </w:tc>
        <w:tc>
          <w:tcPr>
            <w:tcW w:type="dxa" w:w="3408"/>
          </w:tcPr>
          <w:p>
            <w:r>
              <w:t>把融資清洗用於加減碼，而非獨立 promotion。</w:t>
            </w:r>
          </w:p>
        </w:tc>
      </w:tr>
    </w:tbl>
    <w:p/>
    <w:p>
      <w:pPr>
        <w:pStyle w:val="Heading1"/>
      </w:pPr>
      <w:r>
        <w:t>08｜Final Positioning</w:t>
      </w:r>
    </w:p>
    <w:p>
      <w:r>
        <w:t>建議對外定位：這是一個台股月營收 surprise 的 portfolio-grade quant research project，展示從市場制度假說、官方資料 pipeline、SUR-style factor design、portfolio backtest、robustness gates、execution realism 到 paper-trading schema 的完整研究流程。</w:t>
      </w:r>
    </w:p>
    <w:p>
      <w:r>
        <w:t>避免說法：production-ready alpha、live trading system、保證 Sharpe 2+、全市場通用台股策略。</w:t>
      </w:r>
    </w:p>
    <w:p>
      <w:r>
        <w:br w:type="page"/>
      </w:r>
    </w:p>
    <w:p>
      <w:pPr>
        <w:pStyle w:val="Heading1"/>
      </w:pPr>
      <w:r>
        <w:t>09｜Interview Talking Guide</w:t>
      </w:r>
    </w:p>
    <w:p>
      <w:pPr>
        <w:pStyle w:val="Heading2"/>
      </w:pPr>
      <w:r>
        <w:t>30 秒 pitch</w:t>
      </w:r>
    </w:p>
    <w:p>
      <w:r>
        <w:t>我做的是台股月營收 surprise 的短週期量化研究。核心從台灣每月公布營收的制度出發，測試持續性營收驚喜是否會在 10–20 個交易日內被市場逐步重估。研究中我不只看 Sharpe，也做 OOS、sector survival、remove-winner、execution timing、融資策略延伸與 paper-trading schema，所以最後我把 S1 定位為 portfolio-grade research candidate，而不是 production-ready alpha。</w:t>
      </w:r>
    </w:p>
    <w:p>
      <w:pPr>
        <w:pStyle w:val="Heading2"/>
      </w:pPr>
      <w:r>
        <w:t>3 分鐘 pitch</w:t>
      </w:r>
    </w:p>
    <w:p>
      <w:r>
        <w:t>第一，市場結構：台灣每月營收提供高頻基本面資訊。第二，訊號設計：用 3M SUR persistence 捕捉持續 surprise，並避開已過熱 momentum。第三，portfolio 與風控：Top 8、industry cap、liquidity gate、成本與延遲進場。第四，robustness：walk-forward、sector survival、remove winners、execution realism。第五，結論：S1 有研究價值但仍需 exact timestamp 與 paper trading；FRR 融資策略有診斷價值但不升級。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</w:tcPr>
          <w:p>
            <w:r>
              <w:rPr>
                <w:b/>
                <w:color w:val="FFFFFF"/>
              </w:rPr>
              <w:t>面試問題</w:t>
            </w:r>
          </w:p>
        </w:tc>
        <w:tc>
          <w:tcPr>
            <w:tcW w:type="dxa" w:w="5112"/>
            <w:shd w:fill="0F172A"/>
          </w:tcPr>
          <w:p>
            <w:r>
              <w:rPr>
                <w:b/>
                <w:color w:val="FFFFFF"/>
              </w:rPr>
              <w:t>專業回答</w:t>
            </w:r>
          </w:p>
        </w:tc>
      </w:tr>
      <w:tr>
        <w:tc>
          <w:tcPr>
            <w:tcW w:type="dxa" w:w="5112"/>
          </w:tcPr>
          <w:p>
            <w:r>
              <w:t>這個策略的 alpha 來源是什麼？</w:t>
            </w:r>
          </w:p>
        </w:tc>
        <w:tc>
          <w:tcPr>
            <w:tcW w:type="dxa" w:w="5112"/>
          </w:tcPr>
          <w:p>
            <w:r>
              <w:t>來自台灣月營收制度造成的高頻基本面資訊更新，以及市場對持續性 surprise 的延遲反應。</w:t>
            </w:r>
          </w:p>
        </w:tc>
      </w:tr>
      <w:tr>
        <w:tc>
          <w:tcPr>
            <w:tcW w:type="dxa" w:w="5112"/>
          </w:tcPr>
          <w:p>
            <w:r>
              <w:t>為什麼不是技術指標？</w:t>
            </w:r>
          </w:p>
        </w:tc>
        <w:tc>
          <w:tcPr>
            <w:tcW w:type="dxa" w:w="5112"/>
          </w:tcPr>
          <w:p>
            <w:r>
              <w:t>訊號從公告制度、營收 surprise、預期修正與資金逐步 repricing 建立；price-volume 只是後續消化狀態診斷。</w:t>
            </w:r>
          </w:p>
        </w:tc>
      </w:tr>
      <w:tr>
        <w:tc>
          <w:tcPr>
            <w:tcW w:type="dxa" w:w="5112"/>
          </w:tcPr>
          <w:p>
            <w:r>
              <w:t>最大弱點是什麼？</w:t>
            </w:r>
          </w:p>
        </w:tc>
        <w:tc>
          <w:tcPr>
            <w:tcW w:type="dxa" w:w="5112"/>
          </w:tcPr>
          <w:p>
            <w:r>
              <w:t>exact timing、sector concentration、winner dependence、execution realism；文件中都明確揭露。</w:t>
            </w:r>
          </w:p>
        </w:tc>
      </w:tr>
      <w:tr>
        <w:tc>
          <w:tcPr>
            <w:tcW w:type="dxa" w:w="5112"/>
          </w:tcPr>
          <w:p>
            <w:r>
              <w:t>為什麼 S1 而不是更複雜版本？</w:t>
            </w:r>
          </w:p>
        </w:tc>
        <w:tc>
          <w:tcPr>
            <w:tcW w:type="dxa" w:w="5112"/>
          </w:tcPr>
          <w:p>
            <w:r>
              <w:t>walk-forward 沒穩定擊敗 S1，複雜版本容易 overfit；業界會偏好簡潔且可解釋的 incumbent。</w:t>
            </w:r>
          </w:p>
        </w:tc>
      </w:tr>
      <w:tr>
        <w:tc>
          <w:tcPr>
            <w:tcW w:type="dxa" w:w="5112"/>
          </w:tcPr>
          <w:p>
            <w:r>
              <w:t>FRR 新策略怎麼定位？</w:t>
            </w:r>
          </w:p>
        </w:tc>
        <w:tc>
          <w:tcPr>
            <w:tcW w:type="dxa" w:w="5112"/>
          </w:tcPr>
          <w:p>
            <w:r>
              <w:t>FRR 有因果邏輯但 remove-winner 脆弱，暫時作為 S1 timing / sizing diagnostic，不取代 S1。</w:t>
            </w:r>
          </w:p>
        </w:tc>
      </w:tr>
    </w:tbl>
    <w:p/>
    <w:sectPr w:rsidR="00FC693F" w:rsidRPr="0006063C" w:rsidSect="00034616"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E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