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</w:t>
      </w:r>
    </w:p>
    <w:p>
      <w:pPr>
        <w:jc w:val="center"/>
      </w:pPr>
      <w:r>
        <w:t>面試講稿版 V5｜參照 ETF 作品集答辯風格</w:t>
      </w:r>
    </w:p>
    <w:p>
      <w:pPr>
        <w:jc w:val="center"/>
      </w:pPr>
      <w:r>
        <w:t>0050/高股息ETF 作品集版式參照｜Research / Paper-Trading Only｜非投資建議</w:t>
      </w:r>
    </w:p>
    <w:p>
      <w:pPr>
        <w:jc w:val="center"/>
      </w:pPr>
      <w:r>
        <w:t>25 個月樣本｜S1 Sharpe≈2.40｜12 張圖表｜完整 promotion gates</w:t>
      </w:r>
    </w:p>
    <w:p>
      <w:r>
        <w:br w:type="page"/>
      </w:r>
    </w:p>
    <w:p>
      <w:pPr>
        <w:pStyle w:val="Heading1"/>
      </w:pPr>
      <w:r>
        <w:t>一、研究概況</w:t>
      </w:r>
    </w:p>
    <w:p>
      <w:r>
        <w:t>本研究以台灣上市櫃公司月營收公告制度為核心，檢驗「持續性營收驚喜」是否會在公布後 10–20 個交易日形成可觀察的短線 repricing。研究流程參照業界量化研究標準：先提出市場結構假說，再定義資料可得時間與反前視規則，接著進行因子設計、portfolio backtest、robustness gates、execution realism 與 paper-trading schema。</w:t>
      </w:r>
    </w:p>
    <w:p>
      <w:r>
        <w:t>研究結論不是宣稱策略已可實盤，而是保留 S1 作為 portfolio-grade v0.1 research candidate。S1 具備清楚的基本面 surprise 邏輯與吸引人的 proxy 指標，但在 exact timestamp、survivorship、成交可行性與 paper trading 之前，仍不應稱為 production-ready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內容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核心結果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592"/>
          </w:tcPr>
          <w:p>
            <w:r>
              <w:t>Phase 1–2</w:t>
            </w:r>
          </w:p>
        </w:tc>
        <w:tc>
          <w:tcPr>
            <w:tcW w:type="dxa" w:w="2592"/>
          </w:tcPr>
          <w:p>
            <w:r>
              <w:t>建立月營收資料與 proxy backtest</w:t>
            </w:r>
          </w:p>
        </w:tc>
        <w:tc>
          <w:tcPr>
            <w:tcW w:type="dxa" w:w="2592"/>
          </w:tcPr>
          <w:p>
            <w:r>
              <w:t>確認月營收 surprise 具短線研究價值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3.6–3.12</w:t>
            </w:r>
          </w:p>
        </w:tc>
        <w:tc>
          <w:tcPr>
            <w:tcW w:type="dxa" w:w="2592"/>
          </w:tcPr>
          <w:p>
            <w:r>
              <w:t>SUR / short-horizon / walk-forward / sector survival</w:t>
            </w:r>
          </w:p>
        </w:tc>
        <w:tc>
          <w:tcPr>
            <w:tcW w:type="dxa" w:w="2592"/>
          </w:tcPr>
          <w:p>
            <w:r>
              <w:t>S1 成為 incumbent；電子/半導體依賴明確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3.13–3.18</w:t>
            </w:r>
          </w:p>
        </w:tc>
        <w:tc>
          <w:tcPr>
            <w:tcW w:type="dxa" w:w="2592"/>
          </w:tcPr>
          <w:p>
            <w:r>
              <w:t>price-volume / K-line / quiet digestion / sizing</w:t>
            </w:r>
          </w:p>
        </w:tc>
        <w:tc>
          <w:tcPr>
            <w:tcW w:type="dxa" w:w="2592"/>
          </w:tcPr>
          <w:p>
            <w:r>
              <w:t>quiet digestion 有診斷價值，但不升級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3.19–3.26</w:t>
            </w:r>
          </w:p>
        </w:tc>
        <w:tc>
          <w:tcPr>
            <w:tcW w:type="dxa" w:w="2592"/>
          </w:tcPr>
          <w:p>
            <w:r>
              <w:t>execution realism / exact timing / OHLC-limit parser</w:t>
            </w:r>
          </w:p>
        </w:tc>
        <w:tc>
          <w:tcPr>
            <w:tcW w:type="dxa" w:w="2592"/>
          </w:tcPr>
          <w:p>
            <w:r>
              <w:t>保守執行後績效下降，需 paper trading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4.1</w:t>
            </w:r>
          </w:p>
        </w:tc>
        <w:tc>
          <w:tcPr>
            <w:tcW w:type="dxa" w:w="2592"/>
          </w:tcPr>
          <w:p>
            <w:r>
              <w:t>FRR 融資清洗反彈</w:t>
            </w:r>
          </w:p>
        </w:tc>
        <w:tc>
          <w:tcPr>
            <w:tcW w:type="dxa" w:w="2592"/>
          </w:tcPr>
          <w:p>
            <w:r>
              <w:t>有訊號但右尾依賴；作為 S1 diagnostic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策略/版本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1728"/>
          </w:tcPr>
          <w:p>
            <w:r>
              <w:t>S1 incumbent</w:t>
            </w:r>
          </w:p>
        </w:tc>
        <w:tc>
          <w:tcPr>
            <w:tcW w:type="dxa" w:w="1728"/>
          </w:tcPr>
          <w:p>
            <w:r>
              <w:t>3M SUR + no overheated momentum + 20D</w:t>
            </w:r>
          </w:p>
        </w:tc>
        <w:tc>
          <w:tcPr>
            <w:tcW w:type="dxa" w:w="1728"/>
          </w:tcPr>
          <w:p>
            <w:r>
              <w:t>+167.5%</w:t>
            </w:r>
          </w:p>
        </w:tc>
        <w:tc>
          <w:tcPr>
            <w:tcW w:type="dxa" w:w="1728"/>
          </w:tcPr>
          <w:p>
            <w:r>
              <w:t>≈2.40</w:t>
            </w:r>
          </w:p>
        </w:tc>
        <w:tc>
          <w:tcPr>
            <w:tcW w:type="dxa" w:w="1728"/>
          </w:tcPr>
          <w:p>
            <w:r>
              <w:t>-7.9%</w:t>
            </w:r>
          </w:p>
        </w:tc>
        <w:tc>
          <w:tcPr>
            <w:tcW w:type="dxa" w:w="1728"/>
          </w:tcPr>
          <w:p>
            <w:r>
              <w:t>保留主候選</w:t>
            </w:r>
          </w:p>
        </w:tc>
      </w:tr>
      <w:tr>
        <w:tc>
          <w:tcPr>
            <w:tcW w:type="dxa" w:w="1728"/>
          </w:tcPr>
          <w:p>
            <w:r>
              <w:t>S1 fixed-20 comparator</w:t>
            </w:r>
          </w:p>
        </w:tc>
        <w:tc>
          <w:tcPr>
            <w:tcW w:type="dxa" w:w="1728"/>
          </w:tcPr>
          <w:p>
            <w:r>
              <w:t>簡潔固定持有 benchmark</w:t>
            </w:r>
          </w:p>
        </w:tc>
        <w:tc>
          <w:tcPr>
            <w:tcW w:type="dxa" w:w="1728"/>
          </w:tcPr>
          <w:p>
            <w:r>
              <w:t>+161.9%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基準比較</w:t>
            </w:r>
          </w:p>
        </w:tc>
      </w:tr>
      <w:tr>
        <w:tc>
          <w:tcPr>
            <w:tcW w:type="dxa" w:w="1728"/>
          </w:tcPr>
          <w:p>
            <w:r>
              <w:t>Quiet boost</w:t>
            </w:r>
          </w:p>
        </w:tc>
        <w:tc>
          <w:tcPr>
            <w:tcW w:type="dxa" w:w="1728"/>
          </w:tcPr>
          <w:p>
            <w:r>
              <w:t>quiet digestion sizing overlay</w:t>
            </w:r>
          </w:p>
        </w:tc>
        <w:tc>
          <w:tcPr>
            <w:tcW w:type="dxa" w:w="1728"/>
          </w:tcPr>
          <w:p>
            <w:r>
              <w:t>+174.4%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診斷/加權候選</w:t>
            </w:r>
          </w:p>
        </w:tc>
      </w:tr>
      <w:tr>
        <w:tc>
          <w:tcPr>
            <w:tcW w:type="dxa" w:w="1728"/>
          </w:tcPr>
          <w:p>
            <w:r>
              <w:t>Conservative execution</w:t>
            </w:r>
          </w:p>
        </w:tc>
        <w:tc>
          <w:tcPr>
            <w:tcW w:type="dxa" w:w="1728"/>
          </w:tcPr>
          <w:p>
            <w:r>
              <w:t>next-open + 1.0% cost + non-fill stress</w:t>
            </w:r>
          </w:p>
        </w:tc>
        <w:tc>
          <w:tcPr>
            <w:tcW w:type="dxa" w:w="1728"/>
          </w:tcPr>
          <w:p>
            <w:r>
              <w:t>+111.9%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-24.9%</w:t>
            </w:r>
          </w:p>
        </w:tc>
        <w:tc>
          <w:tcPr>
            <w:tcW w:type="dxa" w:w="1728"/>
          </w:tcPr>
          <w:p>
            <w:r>
              <w:t>保守可行性檢查</w:t>
            </w:r>
          </w:p>
        </w:tc>
      </w:tr>
      <w:tr>
        <w:tc>
          <w:tcPr>
            <w:tcW w:type="dxa" w:w="1728"/>
          </w:tcPr>
          <w:p>
            <w:r>
              <w:t>FRR best first-pass</w:t>
            </w:r>
          </w:p>
        </w:tc>
        <w:tc>
          <w:tcPr>
            <w:tcW w:type="dxa" w:w="1728"/>
          </w:tcPr>
          <w:p>
            <w:r>
              <w:t>margin deleveraging + volume absorption</w:t>
            </w:r>
          </w:p>
        </w:tc>
        <w:tc>
          <w:tcPr>
            <w:tcW w:type="dxa" w:w="1728"/>
          </w:tcPr>
          <w:p>
            <w:r>
              <w:t>+251.4%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-17.6%</w:t>
            </w:r>
          </w:p>
        </w:tc>
        <w:tc>
          <w:tcPr>
            <w:tcW w:type="dxa" w:w="1728"/>
          </w:tcPr>
          <w:p>
            <w:r>
              <w:t>不升級，僅診斷</w:t>
            </w:r>
          </w:p>
        </w:tc>
      </w:tr>
    </w:tbl>
    <w:p/>
    <w:p>
      <w:pPr>
        <w:pStyle w:val="Heading1"/>
      </w:pPr>
      <w:r>
        <w:t>二、主要發現：S1 具研究價值，但不是 broad-market production alpha</w:t>
      </w:r>
    </w:p>
    <w:p>
      <w:r>
        <w:t>核心發現是：高 3M SUR 且股價尚未過熱的標的，在 20D 視窗有較佳的短線 repricing 表現。這支持「基本面資訊逐步被市場吸收」的假說。然而，sector survival 顯示績效偏向電子 / 半導體供應鏈；remove-winner stress 也顯示策略仍有 right-tail dependence。因此專業定位應是「台灣電子/半導體供應鏈月營收 surprise repricing candidate」，而非全市場通用 alpha。</w:t>
      </w:r>
    </w:p>
    <w:p>
      <w:r>
        <w:drawing>
          <wp:inline xmlns:a="http://schemas.openxmlformats.org/drawingml/2006/main" xmlns:pic="http://schemas.openxmlformats.org/drawingml/2006/picture">
            <wp:extent cx="6080760" cy="354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1：S1 NAV / Drawdown｜S1 累積績效與回撤路徑；用於判斷策略是否只是單點跳升，或具有可觀察的持續風險報酬輪廓。</w:t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2：月報酬 IS/OOS｜檢查樣本內與樣本外月份貢獻；避免績效完全由單一 regime 或單一月份支撐。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405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3：搜尋空間 Sharpe vs MDD｜顯示研究不是只挑最高 Sharpe，而是把回撤、可解釋性與後續壓力測試一起納入。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4：Top variants vs remove-top-5｜檢查候選策略是否由少數最大贏家支撐，作為 promotion gate。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5：Remove-winners decay｜量化 right-tail dependence；這是目前不宣稱 production-ready 的核心原因之一。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6：Walk-forward OOS NAV｜train-selected rule 沒有穩定打敗固定 S1，支持保留簡潔 incumbent。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7：Sector survival｜顯示電子 / 半導體供應鏈依賴，策略定位不應誇大成 broad-market alpha。</w:t>
      </w:r>
    </w:p>
    <w:p>
      <w:pPr>
        <w:pStyle w:val="Heading1"/>
      </w:pPr>
      <w:r>
        <w:t>三、機制解釋：制度化月營收 → 預期修正 → 短線漂移</w:t>
      </w:r>
    </w:p>
    <w:p>
      <w:r>
        <w:t>台灣月營收資料的特殊性在於，它比季報更高頻、比新聞更結構化，且能即時反映供應鏈訂單、價格與出貨變化。若市場參與者需要時間確認 surprise 的持續性，或資金進場受流動性與風險預算限制，則公布後的 repricing 可能不是一天完成，而是分布在 10–20D。S1 使用 3M SUR persistence，目的是降低單月雜訊並捕捉更穩定的 fundamental update。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視窗/假設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Signal window</w:t>
            </w:r>
          </w:p>
        </w:tc>
        <w:tc>
          <w:tcPr>
            <w:tcW w:type="dxa" w:w="3456"/>
          </w:tcPr>
          <w:p>
            <w:r>
              <w:t>月營收公布後可觀察之 signal date</w:t>
            </w:r>
          </w:p>
        </w:tc>
        <w:tc>
          <w:tcPr>
            <w:tcW w:type="dxa" w:w="3456"/>
          </w:tcPr>
          <w:p>
            <w:r>
              <w:t>避免使用尚未公開資料</w:t>
            </w:r>
          </w:p>
        </w:tc>
      </w:tr>
      <w:tr>
        <w:tc>
          <w:tcPr>
            <w:tcW w:type="dxa" w:w="3456"/>
          </w:tcPr>
          <w:p>
            <w:r>
              <w:t>Entry</w:t>
            </w:r>
          </w:p>
        </w:tc>
        <w:tc>
          <w:tcPr>
            <w:tcW w:type="dxa" w:w="3456"/>
          </w:tcPr>
          <w:p>
            <w:r>
              <w:t>next-open / delay 1–3 trading days</w:t>
            </w:r>
          </w:p>
        </w:tc>
        <w:tc>
          <w:tcPr>
            <w:tcW w:type="dxa" w:w="3456"/>
          </w:tcPr>
          <w:p>
            <w:r>
              <w:t>保守處理公告時間與盤後資料</w:t>
            </w:r>
          </w:p>
        </w:tc>
      </w:tr>
      <w:tr>
        <w:tc>
          <w:tcPr>
            <w:tcW w:type="dxa" w:w="3456"/>
          </w:tcPr>
          <w:p>
            <w:r>
              <w:t>Holding</w:t>
            </w:r>
          </w:p>
        </w:tc>
        <w:tc>
          <w:tcPr>
            <w:tcW w:type="dxa" w:w="3456"/>
          </w:tcPr>
          <w:p>
            <w:r>
              <w:t>10D / 15D / 20D；S1 主版本 20D</w:t>
            </w:r>
          </w:p>
        </w:tc>
        <w:tc>
          <w:tcPr>
            <w:tcW w:type="dxa" w:w="3456"/>
          </w:tcPr>
          <w:p>
            <w:r>
              <w:t>符合短線 repricing 假說</w:t>
            </w:r>
          </w:p>
        </w:tc>
      </w:tr>
      <w:tr>
        <w:tc>
          <w:tcPr>
            <w:tcW w:type="dxa" w:w="3456"/>
          </w:tcPr>
          <w:p>
            <w:r>
              <w:t>Cost</w:t>
            </w:r>
          </w:p>
        </w:tc>
        <w:tc>
          <w:tcPr>
            <w:tcW w:type="dxa" w:w="3456"/>
          </w:tcPr>
          <w:p>
            <w:r>
              <w:t>0.7%–1.2%；核心保守版 1.0%</w:t>
            </w:r>
          </w:p>
        </w:tc>
        <w:tc>
          <w:tcPr>
            <w:tcW w:type="dxa" w:w="3456"/>
          </w:tcPr>
          <w:p>
            <w:r>
              <w:t>含稅費與滑價 proxy</w:t>
            </w:r>
          </w:p>
        </w:tc>
      </w:tr>
      <w:tr>
        <w:tc>
          <w:tcPr>
            <w:tcW w:type="dxa" w:w="3456"/>
          </w:tcPr>
          <w:p>
            <w:r>
              <w:t>Non-fill</w:t>
            </w:r>
          </w:p>
        </w:tc>
        <w:tc>
          <w:tcPr>
            <w:tcW w:type="dxa" w:w="3456"/>
          </w:tcPr>
          <w:p>
            <w:r>
              <w:t>possible limit-up exclusion</w:t>
            </w:r>
          </w:p>
        </w:tc>
        <w:tc>
          <w:tcPr>
            <w:tcW w:type="dxa" w:w="3456"/>
          </w:tcPr>
          <w:p>
            <w:r>
              <w:t>台股漲停排隊風險不可忽略</w:t>
            </w:r>
          </w:p>
        </w:tc>
      </w:tr>
    </w:tbl>
    <w:p/>
    <w:p>
      <w:pPr>
        <w:pStyle w:val="Heading1"/>
      </w:pPr>
      <w:r>
        <w:t>四、Extension Diagnostics：quiet digestion 與 FRR</w:t>
      </w:r>
    </w:p>
    <w:p>
      <w:r>
        <w:t>後續 price-volume / K-line 研究不是技術指標 mining，而是把價格與成交量視為市場消化基本面 surprise 的狀態變數。quiet digestion 有直覺與局部改善，但未能通過 promotion gate。FRR 則測試「強基本面 + 融資去槓桿」的另一條短線邏輯：槓桿賣壓釋放後可能反彈；但第一輪仍呈現右尾依賴，因此不升級為獨立策略。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8：Quiet digestion｜price-volume/K-line 僅作為基本面 surprise 後的消化狀態診斷，不作為獨立技術指標策略。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9：Dynamic sizing｜quiet boost 作為 sizing overlay 有小幅改善，但 drawdown 未改善到足以升級。</w:t>
      </w:r>
    </w:p>
    <w:p>
      <w:r>
        <w:drawing>
          <wp:inline xmlns:a="http://schemas.openxmlformats.org/drawingml/2006/main" xmlns:pic="http://schemas.openxmlformats.org/drawingml/2006/picture">
            <wp:extent cx="6080760" cy="3141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4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10：FRR Top Sharpe｜新增融資清洗策略最高 Sharpe 仍低於 S1，適合保留為診斷層。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11：FRR remove-winner｜FRR 移除 top winners 後快速轉弱，不適合作為獨立主策略。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12：FRR sector survival｜FRR 有部分非半導體訊號，但樣本數太少，仍需更多 OOS。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251.4%</w:t>
            </w:r>
          </w:p>
        </w:tc>
        <w:tc>
          <w:tcPr>
            <w:tcW w:type="dxa" w:w="1481"/>
          </w:tcPr>
          <w:p>
            <w:r>
              <w:t>1.55</w:t>
            </w:r>
          </w:p>
        </w:tc>
        <w:tc>
          <w:tcPr>
            <w:tcW w:type="dxa" w:w="1481"/>
          </w:tcPr>
          <w:p>
            <w:r>
              <w:t>-17.6%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223.8%</w:t>
            </w:r>
          </w:p>
        </w:tc>
        <w:tc>
          <w:tcPr>
            <w:tcW w:type="dxa" w:w="1481"/>
          </w:tcPr>
          <w:p>
            <w:r>
              <w:t>1.43</w:t>
            </w:r>
          </w:p>
        </w:tc>
        <w:tc>
          <w:tcPr>
            <w:tcW w:type="dxa" w:w="1481"/>
          </w:tcPr>
          <w:p>
            <w:r>
              <w:t>-19.0%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179.1%</w:t>
            </w:r>
          </w:p>
        </w:tc>
        <w:tc>
          <w:tcPr>
            <w:tcW w:type="dxa" w:w="1481"/>
          </w:tcPr>
          <w:p>
            <w:r>
              <w:t>1.39</w:t>
            </w:r>
          </w:p>
        </w:tc>
        <w:tc>
          <w:tcPr>
            <w:tcW w:type="dxa" w:w="1481"/>
          </w:tcPr>
          <w:p>
            <w:r>
              <w:t>-16.6%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184.8%</w:t>
            </w:r>
          </w:p>
        </w:tc>
        <w:tc>
          <w:tcPr>
            <w:tcW w:type="dxa" w:w="1481"/>
          </w:tcPr>
          <w:p>
            <w:r>
              <w:t>1.32</w:t>
            </w:r>
          </w:p>
        </w:tc>
        <w:tc>
          <w:tcPr>
            <w:tcW w:type="dxa" w:w="1481"/>
          </w:tcPr>
          <w:p>
            <w:r>
              <w:t>-22.3%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159.4%</w:t>
            </w:r>
          </w:p>
        </w:tc>
        <w:tc>
          <w:tcPr>
            <w:tcW w:type="dxa" w:w="1481"/>
          </w:tcPr>
          <w:p>
            <w:r>
              <w:t>1.26</w:t>
            </w:r>
          </w:p>
        </w:tc>
        <w:tc>
          <w:tcPr>
            <w:tcW w:type="dxa" w:w="1481"/>
          </w:tcPr>
          <w:p>
            <w:r>
              <w:t>-18.7%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78.7%</w:t>
            </w:r>
          </w:p>
        </w:tc>
        <w:tc>
          <w:tcPr>
            <w:tcW w:type="dxa" w:w="1481"/>
          </w:tcPr>
          <w:p>
            <w:r>
              <w:t>1.18</w:t>
            </w:r>
          </w:p>
        </w:tc>
        <w:tc>
          <w:tcPr>
            <w:tcW w:type="dxa" w:w="1481"/>
          </w:tcPr>
          <w:p>
            <w:r>
              <w:t>-15.2%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157.7%</w:t>
            </w:r>
          </w:p>
        </w:tc>
        <w:tc>
          <w:tcPr>
            <w:tcW w:type="dxa" w:w="1481"/>
          </w:tcPr>
          <w:p>
            <w:r>
              <w:t>1.16</w:t>
            </w:r>
          </w:p>
        </w:tc>
        <w:tc>
          <w:tcPr>
            <w:tcW w:type="dxa" w:w="1481"/>
          </w:tcPr>
          <w:p>
            <w:r>
              <w:t>-27.5%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132.6%</w:t>
            </w:r>
          </w:p>
        </w:tc>
        <w:tc>
          <w:tcPr>
            <w:tcW w:type="dxa" w:w="1481"/>
          </w:tcPr>
          <w:p>
            <w:r>
              <w:t>1.13</w:t>
            </w:r>
          </w:p>
        </w:tc>
        <w:tc>
          <w:tcPr>
            <w:tcW w:type="dxa" w:w="1481"/>
          </w:tcPr>
          <w:p>
            <w:r>
              <w:t>-17.7%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3.4%</w:t>
            </w:r>
          </w:p>
        </w:tc>
        <w:tc>
          <w:tcPr>
            <w:tcW w:type="dxa" w:w="2074"/>
          </w:tcPr>
          <w:p>
            <w:r>
              <w:t>0.19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  <w:tc>
          <w:tcPr>
            <w:tcW w:type="dxa" w:w="2074"/>
          </w:tcPr>
          <w:p>
            <w:r>
              <w:t>-1.03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  <w:tc>
          <w:tcPr>
            <w:tcW w:type="dxa" w:w="2074"/>
          </w:tcPr>
          <w:p>
            <w:r>
              <w:t>-2.25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30.1%</w:t>
            </w:r>
          </w:p>
        </w:tc>
        <w:tc>
          <w:tcPr>
            <w:tcW w:type="dxa" w:w="2074"/>
          </w:tcPr>
          <w:p>
            <w:r>
              <w:t>0.61</w:t>
            </w:r>
          </w:p>
        </w:tc>
        <w:tc>
          <w:tcPr>
            <w:tcW w:type="dxa" w:w="2074"/>
          </w:tcPr>
          <w:p>
            <w:r>
              <w:t>-21.8%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-26.4%</w:t>
            </w:r>
          </w:p>
        </w:tc>
        <w:tc>
          <w:tcPr>
            <w:tcW w:type="dxa" w:w="2074"/>
          </w:tcPr>
          <w:p>
            <w:r>
              <w:t>-0.85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  <w:tc>
          <w:tcPr>
            <w:tcW w:type="dxa" w:w="2074"/>
          </w:tcPr>
          <w:p>
            <w:r>
              <w:t>-0.69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</w:tbl>
    <w:p/>
    <w:p>
      <w:pPr>
        <w:pStyle w:val="Heading1"/>
      </w:pPr>
      <w:r>
        <w:t>五、策略可行性：成本、成交與誠實結論</w:t>
      </w:r>
    </w:p>
    <w:p>
      <w:r>
        <w:t>保守 execution proxy 顯示，當進場從 close proxy 改為 next-open、成本提高至 1.0%，並排除可能漲停不可成交標的後，策略品質明顯下降。這不是失敗，而是業界研究中必要的 feasibility discount：一個策略如果只在理想價格、低成本、無 non-fill 下好看，不能直接推向 paper trading 或 live。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目前狀態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程度</w:t>
            </w:r>
          </w:p>
        </w:tc>
      </w:tr>
      <w:tr>
        <w:tc>
          <w:tcPr>
            <w:tcW w:type="dxa" w:w="2592"/>
          </w:tcPr>
          <w:p>
            <w:r>
              <w:t>Exact timing</w:t>
            </w:r>
          </w:p>
        </w:tc>
        <w:tc>
          <w:tcPr>
            <w:tcW w:type="dxa" w:w="2592"/>
          </w:tcPr>
          <w:p>
            <w:r>
              <w:t>缺公司級歷史公告 timestamp</w:t>
            </w:r>
          </w:p>
        </w:tc>
        <w:tc>
          <w:tcPr>
            <w:tcW w:type="dxa" w:w="2592"/>
          </w:tcPr>
          <w:p>
            <w:r>
              <w:t>目前不宣稱 same-day tradability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Survivorship / universe</w:t>
            </w:r>
          </w:p>
        </w:tc>
        <w:tc>
          <w:tcPr>
            <w:tcW w:type="dxa" w:w="2592"/>
          </w:tcPr>
          <w:p>
            <w:r>
              <w:t>歷史 universe 與下市資料仍待補強</w:t>
            </w:r>
          </w:p>
        </w:tc>
        <w:tc>
          <w:tcPr>
            <w:tcW w:type="dxa" w:w="2592"/>
          </w:tcPr>
          <w:p>
            <w:r>
              <w:t>可能高估可交易結果</w:t>
            </w:r>
          </w:p>
        </w:tc>
        <w:tc>
          <w:tcPr>
            <w:tcW w:type="dxa" w:w="2592"/>
          </w:tcPr>
          <w:p>
            <w:r>
              <w:t>中-高</w:t>
            </w:r>
          </w:p>
        </w:tc>
      </w:tr>
      <w:tr>
        <w:tc>
          <w:tcPr>
            <w:tcW w:type="dxa" w:w="2592"/>
          </w:tcPr>
          <w:p>
            <w:r>
              <w:t>Winner dependence</w:t>
            </w:r>
          </w:p>
        </w:tc>
        <w:tc>
          <w:tcPr>
            <w:tcW w:type="dxa" w:w="2592"/>
          </w:tcPr>
          <w:p>
            <w:r>
              <w:t>remove-winner 後 Sharpe 衰退</w:t>
            </w:r>
          </w:p>
        </w:tc>
        <w:tc>
          <w:tcPr>
            <w:tcW w:type="dxa" w:w="2592"/>
          </w:tcPr>
          <w:p>
            <w:r>
              <w:t>需要 position sizing 與風險上限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Sector concentration</w:t>
            </w:r>
          </w:p>
        </w:tc>
        <w:tc>
          <w:tcPr>
            <w:tcW w:type="dxa" w:w="2592"/>
          </w:tcPr>
          <w:p>
            <w:r>
              <w:t>電子/半導體供應鏈依賴</w:t>
            </w:r>
          </w:p>
        </w:tc>
        <w:tc>
          <w:tcPr>
            <w:tcW w:type="dxa" w:w="2592"/>
          </w:tcPr>
          <w:p>
            <w:r>
              <w:t>定位需限縮，不稱 broad alpha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Execution realism</w:t>
            </w:r>
          </w:p>
        </w:tc>
        <w:tc>
          <w:tcPr>
            <w:tcW w:type="dxa" w:w="2592"/>
          </w:tcPr>
          <w:p>
            <w:r>
              <w:t>開盤跳空、漲停 non-fill、流動性容量</w:t>
            </w:r>
          </w:p>
        </w:tc>
        <w:tc>
          <w:tcPr>
            <w:tcW w:type="dxa" w:w="2592"/>
          </w:tcPr>
          <w:p>
            <w:r>
              <w:t>需 paper trading 驗證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Overfitting</w:t>
            </w:r>
          </w:p>
        </w:tc>
        <w:tc>
          <w:tcPr>
            <w:tcW w:type="dxa" w:w="2592"/>
          </w:tcPr>
          <w:p>
            <w:r>
              <w:t>多輪搜尋可能追逐樣本內 winners</w:t>
            </w:r>
          </w:p>
        </w:tc>
        <w:tc>
          <w:tcPr>
            <w:tcW w:type="dxa" w:w="2592"/>
          </w:tcPr>
          <w:p>
            <w:r>
              <w:t>保留 S1 簡潔 incumbent</w:t>
            </w:r>
          </w:p>
        </w:tc>
        <w:tc>
          <w:tcPr>
            <w:tcW w:type="dxa" w:w="2592"/>
          </w:tcPr>
          <w:p>
            <w:r>
              <w:t>中</w:t>
            </w:r>
          </w:p>
        </w:tc>
      </w:tr>
    </w:tbl>
    <w:p/>
    <w:p>
      <w:pPr>
        <w:pStyle w:val="Heading1"/>
      </w:pPr>
      <w:r>
        <w:t>六、Paper Trading Plan 與未來研究方向</w:t>
      </w:r>
    </w:p>
    <w:p>
      <w:r>
        <w:t>下一步應停止單純追求更高 full-sample Sharpe，改以 paper-trading 驗證 operational feasibility。Paper trading 不用來證明 alpha，而是用來驗證資料是否準時可得、訊號是否可重現、實際開盤是否可成交、滑價與 non-fill 是否符合回測假設。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流程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記錄欄位/動作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驗證目的</w:t>
            </w:r>
          </w:p>
        </w:tc>
      </w:tr>
      <w:tr>
        <w:tc>
          <w:tcPr>
            <w:tcW w:type="dxa" w:w="3456"/>
          </w:tcPr>
          <w:p>
            <w:r>
              <w:t>Daily data cut</w:t>
            </w:r>
          </w:p>
        </w:tc>
        <w:tc>
          <w:tcPr>
            <w:tcW w:type="dxa" w:w="3456"/>
          </w:tcPr>
          <w:p>
            <w:r>
              <w:t>記錄資料實際可得時間：營收、價格、融資、OHLC/limit</w:t>
            </w:r>
          </w:p>
        </w:tc>
        <w:tc>
          <w:tcPr>
            <w:tcW w:type="dxa" w:w="3456"/>
          </w:tcPr>
          <w:p>
            <w:r>
              <w:t>驗證 anti-look-ahead</w:t>
            </w:r>
          </w:p>
        </w:tc>
      </w:tr>
      <w:tr>
        <w:tc>
          <w:tcPr>
            <w:tcW w:type="dxa" w:w="3456"/>
          </w:tcPr>
          <w:p>
            <w:r>
              <w:t>Signal log</w:t>
            </w:r>
          </w:p>
        </w:tc>
        <w:tc>
          <w:tcPr>
            <w:tcW w:type="dxa" w:w="3456"/>
          </w:tcPr>
          <w:p>
            <w:r>
              <w:t>signal_generated_at、候選名單、排序、排除原因</w:t>
            </w:r>
          </w:p>
        </w:tc>
        <w:tc>
          <w:tcPr>
            <w:tcW w:type="dxa" w:w="3456"/>
          </w:tcPr>
          <w:p>
            <w:r>
              <w:t>驗證策略流程可重現</w:t>
            </w:r>
          </w:p>
        </w:tc>
      </w:tr>
      <w:tr>
        <w:tc>
          <w:tcPr>
            <w:tcW w:type="dxa" w:w="3456"/>
          </w:tcPr>
          <w:p>
            <w:r>
              <w:t>Execution check</w:t>
            </w:r>
          </w:p>
        </w:tc>
        <w:tc>
          <w:tcPr>
            <w:tcW w:type="dxa" w:w="3456"/>
          </w:tcPr>
          <w:p>
            <w:r>
              <w:t>next-open 是否可成交、漲停/跌停、成交金額、預估滑價</w:t>
            </w:r>
          </w:p>
        </w:tc>
        <w:tc>
          <w:tcPr>
            <w:tcW w:type="dxa" w:w="3456"/>
          </w:tcPr>
          <w:p>
            <w:r>
              <w:t>驗證可執行性</w:t>
            </w:r>
          </w:p>
        </w:tc>
      </w:tr>
      <w:tr>
        <w:tc>
          <w:tcPr>
            <w:tcW w:type="dxa" w:w="3456"/>
          </w:tcPr>
          <w:p>
            <w:r>
              <w:t>Outcome review</w:t>
            </w:r>
          </w:p>
        </w:tc>
        <w:tc>
          <w:tcPr>
            <w:tcW w:type="dxa" w:w="3456"/>
          </w:tcPr>
          <w:p>
            <w:r>
              <w:t>5D/10D/20D PnL、benchmark excess、sector exposure</w:t>
            </w:r>
          </w:p>
        </w:tc>
        <w:tc>
          <w:tcPr>
            <w:tcW w:type="dxa" w:w="3456"/>
          </w:tcPr>
          <w:p>
            <w:r>
              <w:t>比較 paper vs backtest</w:t>
            </w:r>
          </w:p>
        </w:tc>
      </w:tr>
      <w:tr>
        <w:tc>
          <w:tcPr>
            <w:tcW w:type="dxa" w:w="3456"/>
          </w:tcPr>
          <w:p>
            <w:r>
              <w:t>Monthly committee</w:t>
            </w:r>
          </w:p>
        </w:tc>
        <w:tc>
          <w:tcPr>
            <w:tcW w:type="dxa" w:w="3456"/>
          </w:tcPr>
          <w:p>
            <w:r>
              <w:t>remove-winner、sector、capacity、cost drift review</w:t>
            </w:r>
          </w:p>
        </w:tc>
        <w:tc>
          <w:tcPr>
            <w:tcW w:type="dxa" w:w="3456"/>
          </w:tcPr>
          <w:p>
            <w:r>
              <w:t>決定是否進入下一 gate</w:t>
            </w:r>
          </w:p>
        </w:tc>
      </w:tr>
    </w:tbl>
    <w:p/>
    <w:p>
      <w:pPr>
        <w:pStyle w:val="Heading1"/>
      </w:pPr>
      <w:r>
        <w:t>七、研究紀律與最終定位</w:t>
      </w:r>
    </w:p>
    <w:p>
      <w:r>
        <w:t>本作品集最有價值的地方，是展現研究紀律：從有因果邏輯的假說出發，保留簡潔 incumbent，對所有新增策略進行壓力測試，並誠實拒絕未通過 gate 的版本。對外建議說法：這是一個台股月營收 surprise 的 portfolio-grade quant research project，尚未是 production-ready live strategy。</w:t>
      </w:r>
    </w:p>
    <w:p>
      <w:r>
        <w:br w:type="page"/>
      </w:r>
    </w:p>
    <w:p>
      <w:pPr>
        <w:pStyle w:val="Heading1"/>
      </w:pPr>
      <w:r>
        <w:t>八、面試講稿與答辯</w:t>
      </w:r>
    </w:p>
    <w:p>
      <w:pPr>
        <w:pStyle w:val="Heading2"/>
      </w:pPr>
      <w:r>
        <w:t>30 秒版本</w:t>
      </w:r>
    </w:p>
    <w:p>
      <w:r>
        <w:t>我做的是台股月營收 surprise 的短週期量化研究。核心從台灣每月公布營收的制度出發，測試持續性營收驚喜是否會在 10–20 個交易日內被市場逐步重估。我不只看 Sharpe，也做 OOS、sector survival、remove-winner、execution realism、融資策略延伸與 paper-trading schema，所以最後把 S1 定位為 portfolio-grade research candidate，而非 production-ready alpha。</w:t>
      </w:r>
    </w:p>
    <w:p>
      <w:pPr>
        <w:pStyle w:val="Heading2"/>
      </w:pPr>
      <w:r>
        <w:t>3 分鐘版本</w:t>
      </w:r>
    </w:p>
    <w:p>
      <w:r>
        <w:t>第一，市場結構：月營收提供高頻基本面資訊。第二，訊號設計：3M SUR persistence 避免單月雜訊，no-overheated momentum 避免已 pricing 標的。第三，投組：Top 8、industry cap、liquidity gate、20D horizon。第四，robustness：walk-forward、sector survival、remove-winner、cost、execution timing。第五，結論：S1 有研究價值但仍需 exact timestamp 與 paper trading；FRR 有邏輯但只當 diagnostic。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5184"/>
            <w:shd w:fill="0F172A"/>
          </w:tcPr>
          <w:p>
            <w:r>
              <w:rPr>
                <w:b/>
                <w:color w:val="FFFFFF"/>
              </w:rPr>
              <w:t>回答</w:t>
            </w:r>
          </w:p>
        </w:tc>
      </w:tr>
      <w:tr>
        <w:tc>
          <w:tcPr>
            <w:tcW w:type="dxa" w:w="5184"/>
          </w:tcPr>
          <w:p>
            <w:r>
              <w:t>一句話介紹</w:t>
            </w:r>
          </w:p>
        </w:tc>
        <w:tc>
          <w:tcPr>
            <w:tcW w:type="dxa" w:w="5184"/>
          </w:tcPr>
          <w:p>
            <w:r>
              <w:t>我研究台灣月營收制度是否造成短週期 post-disclosure drift，並用業界式 robustness gates 檢查策略是否值得 paper trading。</w:t>
            </w:r>
          </w:p>
        </w:tc>
      </w:tr>
      <w:tr>
        <w:tc>
          <w:tcPr>
            <w:tcW w:type="dxa" w:w="5184"/>
          </w:tcPr>
          <w:p>
            <w:r>
              <w:t>為什麼有 alpha？</w:t>
            </w:r>
          </w:p>
        </w:tc>
        <w:tc>
          <w:tcPr>
            <w:tcW w:type="dxa" w:w="5184"/>
          </w:tcPr>
          <w:p>
            <w:r>
              <w:t>台灣月營收是高頻基本面資訊，持續性 surprise 可能更新市場對供應鏈需求的預期，而市場反應不一定即時完成。</w:t>
            </w:r>
          </w:p>
        </w:tc>
      </w:tr>
      <w:tr>
        <w:tc>
          <w:tcPr>
            <w:tcW w:type="dxa" w:w="5184"/>
          </w:tcPr>
          <w:p>
            <w:r>
              <w:t>為什麼不是 production-ready？</w:t>
            </w:r>
          </w:p>
        </w:tc>
        <w:tc>
          <w:tcPr>
            <w:tcW w:type="dxa" w:w="5184"/>
          </w:tcPr>
          <w:p>
            <w:r>
              <w:t>exact timestamp、survivorship、execution fill、sector concentration、winner dependence 都還沒完全通過。</w:t>
            </w:r>
          </w:p>
        </w:tc>
      </w:tr>
      <w:tr>
        <w:tc>
          <w:tcPr>
            <w:tcW w:type="dxa" w:w="5184"/>
          </w:tcPr>
          <w:p>
            <w:r>
              <w:t>FRR 怎麼講？</w:t>
            </w:r>
          </w:p>
        </w:tc>
        <w:tc>
          <w:tcPr>
            <w:tcW w:type="dxa" w:w="5184"/>
          </w:tcPr>
          <w:p>
            <w:r>
              <w:t>它是另一個有因果邏輯的短線策略，但 remove-winner 脆弱，因此先當 S1 timing/sizing diagnostic。</w:t>
            </w:r>
          </w:p>
        </w:tc>
      </w:tr>
      <w:tr>
        <w:tc>
          <w:tcPr>
            <w:tcW w:type="dxa" w:w="5184"/>
          </w:tcPr>
          <w:p>
            <w:r>
              <w:t>你最大的亮點？</w:t>
            </w:r>
          </w:p>
        </w:tc>
        <w:tc>
          <w:tcPr>
            <w:tcW w:type="dxa" w:w="5184"/>
          </w:tcPr>
          <w:p>
            <w:r>
              <w:t>不是只做出漂亮績效，而是能建立研究假說、驗證、壓力測試，並誠實拒絕未通過 gate 的版本。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