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Summary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Step 4 generates controlled implicit-transitive spatial relation samples. Each sample contains three objects, A, B, and C, where A–C is the target probe pair and B serves as the anchor. The text explicitly presents only two supporting relations, A–B and B–C, while the target A–C relation is not directly stated. The target labels are restricted to four directional spatial relations: `</w:t>
      </w:r>
      <w:r w:rsidDel="00000000" w:rsidR="00000000" w:rsidRPr="00000000">
        <w:rPr>
          <w:b w:val="1"/>
          <w:bCs w:val="1"/>
          <w:rtl w:val="0"/>
        </w:rPr>
        <w:t xml:space="preserve">left_to`, `right_to`, `above`, and `below`</w:t>
      </w:r>
      <w:r w:rsidDel="00000000" w:rsidR="00000000" w:rsidRPr="00000000">
        <w:rPr>
          <w:rtl w:val="0"/>
        </w:rPr>
        <w:t xml:space="preserve">. For each label,</w:t>
      </w:r>
      <w:r w:rsidDel="00000000" w:rsidR="00000000" w:rsidRPr="00000000">
        <w:rPr>
          <w:b w:val="1"/>
          <w:bCs w:val="1"/>
          <w:rtl w:val="0"/>
        </w:rPr>
        <w:t xml:space="preserve"> 2,500 samples</w:t>
      </w:r>
      <w:r w:rsidDel="00000000" w:rsidR="00000000" w:rsidRPr="00000000">
        <w:rPr>
          <w:rtl w:val="0"/>
        </w:rPr>
        <w:t xml:space="preserve"> are generated, resulting in </w:t>
      </w:r>
      <w:r w:rsidDel="00000000" w:rsidR="00000000" w:rsidRPr="00000000">
        <w:rPr>
          <w:b w:val="1"/>
          <w:bCs w:val="1"/>
          <w:rtl w:val="0"/>
        </w:rPr>
        <w:t xml:space="preserve">10,000</w:t>
      </w:r>
      <w:r w:rsidDel="00000000" w:rsidR="00000000" w:rsidRPr="00000000">
        <w:rPr>
          <w:rtl w:val="0"/>
        </w:rPr>
        <w:t xml:space="preserve"> samples in total. Step 4 also adds various distractor relation sentences to increase textual interference, but the distractor labels are not used in defining the target labels.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Step 5 feeds each paragraph into Qwen2.5-0.5B and constructs a directional difference vector, `hidden(A) - hidden(C)`, which serves as the main probe feature for Step 6.</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Step 6 reads the hidden-state records generated in Step 5 and uses `layer_diff_features`, namely `hidden(A) - hidden(C)`, as input features. A logistic regression linear probe is trained separately for each layer to evaluate whether the hidden-state difference can linearly decode the four types of implicit spatial relations. The training set is drawn from FloorPlan1–4, while the test set is drawn from FloorPlan5–6. In addition, train and test object UIDs do not overlap, which reduces the risk of leakage caused by object memorization.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