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标准化测试案例验证报告</w:t>
      </w:r>
    </w:p>
    <w:p>
      <w:r>
        <w:t>对象：胶原蛋白（人 I 型胶原 α1 链）与工业酶（枯草杆菌蛋白酶 BPN'）</w:t>
      </w:r>
    </w:p>
    <w:p>
      <w:r>
        <w:t>版本 0.1.0 ｜ 验证日期 2026-09-15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一、验证目的与方法</w:t>
      </w:r>
    </w:p>
    <w:p>
      <w:pPr>
        <w:pStyle w:val="Heading3"/>
      </w:pPr>
      <w:r>
        <w:t>1.1 目的</w:t>
      </w:r>
    </w:p>
    <w:p>
      <w:r>
        <w:t>依据需求文档"针对胶原蛋白和至少一种工业酶的标准化测试案例及验证报告"，</w:t>
      </w:r>
    </w:p>
    <w:p>
      <w:r>
        <w:t>本报告对平台在两个</w:t>
      </w:r>
      <w:r>
        <w:rPr>
          <w:b/>
        </w:rPr>
        <w:t>真实蛋白</w:t>
      </w:r>
      <w:r>
        <w:t>上的表现做定量验证，重点回答三个问题：</w:t>
      </w:r>
    </w:p>
    <w:p>
      <w:pPr>
        <w:pStyle w:val="ListNumber"/>
      </w:pPr>
      <w:r>
        <w:t>平台能否正确处理这两类蛋白的</w:t>
      </w:r>
      <w:r>
        <w:rPr>
          <w:b/>
        </w:rPr>
        <w:t>领域特殊约束</w:t>
      </w:r>
      <w:r>
        <w:t>（三股螺旋 Gly-X-Y 周期、</w:t>
      </w:r>
    </w:p>
    <w:p>
      <w:r>
        <w:t>丝氨酸蛋白酶催化三联体）？</w:t>
      </w:r>
    </w:p>
    <w:p>
      <w:pPr>
        <w:pStyle w:val="ListNumber"/>
      </w:pPr>
      <w:r>
        <w:t>平台的推荐是否</w:t>
      </w:r>
      <w:r>
        <w:rPr>
          <w:b/>
        </w:rPr>
        <w:t>不违背领域知识</w:t>
      </w:r>
      <w:r>
        <w:t>（例如不推荐改催化残基、不推荐改必需 Gly 位）？</w:t>
      </w:r>
    </w:p>
    <w:p>
      <w:pPr>
        <w:pStyle w:val="ListNumber"/>
      </w:pPr>
      <w:r>
        <w:t>平台在</w:t>
      </w:r>
      <w:r>
        <w:rPr>
          <w:b/>
        </w:rPr>
        <w:t>超长序列、外部服务失败</w:t>
      </w:r>
      <w:r>
        <w:t>等边界条件下是否行为可预期？</w:t>
      </w:r>
    </w:p>
    <w:p>
      <w:pPr>
        <w:pStyle w:val="Heading3"/>
      </w:pPr>
      <w:r>
        <w:t>1.2 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环节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做法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序列来源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UniProt 官方 REST 拉取，</w:t>
            </w:r>
            <w:r>
              <w:rPr>
                <w:b/>
                <w:sz w:val="19"/>
              </w:rPr>
              <w:t>不使用任何人工编造的序列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结构预测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 Atlas 在线服务；超长序列自动分片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突变设计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全位点 × 19 氨基酸零样本扫描（ESM-2 掩码边缘似然比）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一致性判定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由脚本自动断言，</w:t>
            </w:r>
            <w:r>
              <w:rPr>
                <w:b/>
                <w:sz w:val="19"/>
              </w:rPr>
              <w:t>任何不符合领域知识的推荐都会使脚本返回非零退出码</w:t>
            </w:r>
          </w:p>
        </w:tc>
      </w:tr>
    </w:tbl>
    <w:p/>
    <w:p>
      <w:r>
        <w:t>可复现命令：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python scripts/fetch_seed_sequences.py          # 拉取标准序列</w:t>
        <w:br/>
      </w:r>
      <w:r>
        <w:rPr>
          <w:rFonts w:ascii="Consolas" w:hAnsi="Consolas" w:eastAsia="Consolas"/>
          <w:sz w:val="18"/>
        </w:rPr>
        <w:t>python scripts/run_case_industrial_enzyme.py    # 工业酶案例</w:t>
        <w:br/>
      </w:r>
      <w:r>
        <w:rPr>
          <w:rFonts w:ascii="Consolas" w:hAnsi="Consolas" w:eastAsia="Consolas"/>
          <w:sz w:val="18"/>
        </w:rPr>
        <w:t>python scripts/run_case_protein_a.py            # 蛋白 A 案例</w:t>
        <w:br/>
      </w:r>
      <w:r>
        <w:rPr>
          <w:rFonts w:ascii="Consolas" w:hAnsi="Consolas" w:eastAsia="Consolas"/>
          <w:sz w:val="18"/>
        </w:rPr>
        <w:t>python scripts/run_case_collagen.py             # 胶原蛋白案例</w:t>
      </w:r>
    </w:p>
    <w:p>
      <w:r>
        <w:t>结构化结果：</w:t>
      </w:r>
      <w:r>
        <w:rPr>
          <w:rFonts w:ascii="Consolas" w:hAnsi="Consolas" w:eastAsia="Consolas"/>
          <w:sz w:val="19"/>
        </w:rPr>
        <w:t>data/validation/case_*.json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二、案例一：工业酶（枯草杆菌蛋白酶 BPN'）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UniProt 条目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P00782 </w:t>
            </w:r>
            <w:r>
              <w:rPr>
                <w:rFonts w:ascii="Consolas" w:hAnsi="Consolas" w:eastAsia="Consolas"/>
                <w:sz w:val="19"/>
              </w:rPr>
              <w:t>SUBT_BACAM</w:t>
            </w:r>
            <w:r>
              <w:rPr>
                <w:sz w:val="19"/>
              </w:rPr>
              <w:t>（Bacillus amyloliquefaciens）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序列长度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382 aa（前体；成熟酶 275 aa）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设计模式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单点突变</w:t>
            </w:r>
          </w:p>
        </w:tc>
      </w:tr>
    </w:tbl>
    <w:p/>
    <w:p>
      <w:pPr>
        <w:pStyle w:val="Heading3"/>
      </w:pPr>
      <w:r>
        <w:t>2.1 活性位点识别结果</w:t>
      </w:r>
    </w:p>
    <w:p>
      <w:r>
        <w:t>平台</w:t>
      </w:r>
      <w:r>
        <w:rPr>
          <w:b/>
        </w:rPr>
        <w:t>不使用硬编码残基编号</w:t>
      </w:r>
      <w:r>
        <w:t xml:space="preserve">，而是通过序列模体识别 + </w:t>
      </w:r>
      <w:r>
        <w:rPr>
          <w:b/>
        </w:rPr>
        <w:t>相对间距自校验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检出位置（1-based）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模体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BPN' 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间距自校验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催化天冬氨酸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139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DSG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Asp32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期望 189，实际 </w:t>
            </w:r>
            <w:r>
              <w:rPr>
                <w:b/>
                <w:sz w:val="19"/>
              </w:rPr>
              <w:t>189</w:t>
            </w:r>
            <w:r>
              <w:rPr>
                <w:sz w:val="19"/>
              </w:rPr>
              <w:t xml:space="preserve"> ✓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催化组氨酸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HGTH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His64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期望 157，实际 </w:t>
            </w:r>
            <w:r>
              <w:rPr>
                <w:b/>
                <w:sz w:val="19"/>
              </w:rPr>
              <w:t>157</w:t>
            </w:r>
            <w:r>
              <w:rPr>
                <w:sz w:val="19"/>
              </w:rPr>
              <w:t xml:space="preserve"> ✓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催化丝氨酸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328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GTSM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Ser221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基准 ✓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氧负离子洞天冬酰胺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261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GNEGT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期望 66，实际 </w:t>
            </w:r>
            <w:r>
              <w:rPr>
                <w:b/>
                <w:sz w:val="19"/>
              </w:rPr>
              <w:t>67</w:t>
            </w:r>
            <w:r>
              <w:rPr>
                <w:sz w:val="19"/>
              </w:rPr>
              <w:t xml:space="preserve"> ✓</w:t>
            </w:r>
          </w:p>
        </w:tc>
      </w:tr>
    </w:tbl>
    <w:p/>
    <w:p>
      <w:r>
        <w:rPr>
          <w:b/>
        </w:rPr>
        <w:t>验证结论</w:t>
      </w:r>
      <w:r>
        <w:t>：四项相对间距全部通过（与编号体系无关的不变量），</w:t>
      </w:r>
    </w:p>
    <w:p>
      <w:r>
        <w:t>三个催化残基的编号换算结果与文献完全一致，说明识别正确。</w:t>
      </w:r>
    </w:p>
    <w:p>
      <w:pPr>
        <w:ind w:left="454"/>
      </w:pPr>
      <w:r>
        <w:rPr>
          <w:b/>
          <w:i/>
          <w:color w:val="444444"/>
        </w:rPr>
        <w:t>实现过程中的重要修正</w:t>
      </w:r>
      <w:r>
        <w:rPr>
          <w:i/>
          <w:color w:val="444444"/>
        </w:rPr>
        <w:t xml:space="preserve">：早期版本使用的模体 </w:t>
      </w:r>
      <w:r>
        <w:rPr>
          <w:rFonts w:ascii="Consolas" w:hAnsi="Consolas" w:eastAsia="Consolas"/>
          <w:i/>
          <w:color w:val="444444"/>
          <w:sz w:val="19"/>
        </w:rPr>
        <w:t>DGN</w:t>
      </w:r>
      <w:r>
        <w:rPr>
          <w:i/>
          <w:color w:val="444444"/>
        </w:rPr>
        <w:t xml:space="preserve"> 与 </w:t>
      </w:r>
      <w:r>
        <w:rPr>
          <w:rFonts w:ascii="Consolas" w:hAnsi="Consolas" w:eastAsia="Consolas"/>
          <w:i/>
          <w:color w:val="444444"/>
          <w:sz w:val="19"/>
        </w:rPr>
        <w:t>NNS</w:t>
      </w:r>
      <w:r>
        <w:rPr>
          <w:i/>
          <w:color w:val="444444"/>
        </w:rPr>
        <w:t xml:space="preserve"> 是错误的——</w:t>
      </w:r>
    </w:p>
    <w:p>
      <w:pPr>
        <w:ind w:left="454"/>
      </w:pPr>
      <w:r>
        <w:rPr>
          <w:rFonts w:ascii="Consolas" w:hAnsi="Consolas" w:eastAsia="Consolas"/>
          <w:i/>
          <w:color w:val="444444"/>
          <w:sz w:val="19"/>
        </w:rPr>
        <w:t>DGN</w:t>
      </w:r>
      <w:r>
        <w:rPr>
          <w:i/>
          <w:color w:val="444444"/>
        </w:rPr>
        <w:t xml:space="preserve"> 在该序列中根本不存在，</w:t>
      </w:r>
      <w:r>
        <w:rPr>
          <w:rFonts w:ascii="Consolas" w:hAnsi="Consolas" w:eastAsia="Consolas"/>
          <w:i/>
          <w:color w:val="444444"/>
          <w:sz w:val="19"/>
        </w:rPr>
        <w:t>NNS</w:t>
      </w:r>
      <w:r>
        <w:rPr>
          <w:i/>
          <w:color w:val="444444"/>
        </w:rPr>
        <w:t xml:space="preserve"> 出现两次导致过度保护。</w:t>
      </w:r>
    </w:p>
    <w:p>
      <w:pPr>
        <w:ind w:left="454"/>
      </w:pPr>
      <w:r>
        <w:rPr>
          <w:i/>
          <w:color w:val="444444"/>
        </w:rPr>
        <w:t xml:space="preserve">模体经实测校准后改为 </w:t>
      </w:r>
      <w:r>
        <w:rPr>
          <w:rFonts w:ascii="Consolas" w:hAnsi="Consolas" w:eastAsia="Consolas"/>
          <w:i/>
          <w:color w:val="444444"/>
          <w:sz w:val="19"/>
        </w:rPr>
        <w:t>DSG</w:t>
      </w:r>
      <w:r>
        <w:rPr>
          <w:i/>
          <w:color w:val="444444"/>
        </w:rPr>
        <w:t xml:space="preserve"> / </w:t>
      </w:r>
      <w:r>
        <w:rPr>
          <w:rFonts w:ascii="Consolas" w:hAnsi="Consolas" w:eastAsia="Consolas"/>
          <w:i/>
          <w:color w:val="444444"/>
          <w:sz w:val="19"/>
        </w:rPr>
        <w:t>HGTH</w:t>
      </w:r>
      <w:r>
        <w:rPr>
          <w:i/>
          <w:color w:val="444444"/>
        </w:rPr>
        <w:t xml:space="preserve"> / </w:t>
      </w:r>
      <w:r>
        <w:rPr>
          <w:rFonts w:ascii="Consolas" w:hAnsi="Consolas" w:eastAsia="Consolas"/>
          <w:i/>
          <w:color w:val="444444"/>
          <w:sz w:val="19"/>
        </w:rPr>
        <w:t>GTSM</w:t>
      </w:r>
      <w:r>
        <w:rPr>
          <w:i/>
          <w:color w:val="444444"/>
        </w:rPr>
        <w:t xml:space="preserve"> / </w:t>
      </w:r>
      <w:r>
        <w:rPr>
          <w:rFonts w:ascii="Consolas" w:hAnsi="Consolas" w:eastAsia="Consolas"/>
          <w:i/>
          <w:color w:val="444444"/>
          <w:sz w:val="19"/>
        </w:rPr>
        <w:t>GNEGT</w:t>
      </w:r>
      <w:r>
        <w:rPr>
          <w:i/>
          <w:color w:val="444444"/>
        </w:rPr>
        <w:t>，每个模体唯一出现。</w:t>
      </w:r>
    </w:p>
    <w:p>
      <w:pPr>
        <w:pStyle w:val="Heading3"/>
      </w:pPr>
      <w:r>
        <w:t>2.2 保护位点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数量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前导肽区（信号肽 + propeptide）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第 1-107 位，成熟过程中被自切去除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催化三联体 + 氧负离子洞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活性绝对必需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底物结合口袋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决定底物识别与 kcat/Km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117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2.3 结构与设计结果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结构来源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 Atlas（缓存命中，382 aa）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平均 pLDDT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93.90</w:t>
            </w:r>
            <w:r>
              <w:rPr>
                <w:sz w:val="19"/>
              </w:rPr>
              <w:t>（高置信度）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二级结构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螺旋 20.9% · 折叠 1.6% · 卷曲 77.5%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扫描位点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264（候选 5016 条）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耗时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14.0 s</w:t>
            </w:r>
          </w:p>
        </w:tc>
      </w:tr>
    </w:tbl>
    <w:p/>
    <w:p>
      <w:r>
        <w:rPr>
          <w:b/>
        </w:rPr>
        <w:t>Top 候选</w:t>
      </w:r>
      <w:r>
        <w:t>（节选）：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突变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位置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总分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稳定性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活性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折叠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安全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告警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G267S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267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70.76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91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S269P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269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70.37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92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66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G238E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238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70.16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92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65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Q313F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313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69.95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92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64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V111L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111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69.92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91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65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2.4 一致性校验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校验项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推荐位点均不触及受保护位点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违规 0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推荐位点均落在成熟酶区（≥108）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前导肽区推荐 0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推荐位点均不触及催化残基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触及 0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活性位点相对间距自校验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4/4 通过</w:t>
            </w:r>
          </w:p>
        </w:tc>
      </w:tr>
    </w:tbl>
    <w:p/>
    <w:p>
      <w:r>
        <w:rPr>
          <w:b/>
        </w:rPr>
        <w:t>脚本退出码 0（全部通过）</w:t>
      </w:r>
    </w:p>
    <w:p>
      <w:pPr>
        <w:pStyle w:val="Heading3"/>
      </w:pPr>
      <w:r>
        <w:t>2.5 观察到的改进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Top 候选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问题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加入前导肽保护前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L14F、M20F、A13S…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全部落在第 13-20 位，即</w:t>
            </w:r>
            <w:r>
              <w:rPr>
                <w:b/>
                <w:sz w:val="19"/>
              </w:rPr>
              <w:t>信号肽/前导肽区</w:t>
            </w:r>
            <w:r>
              <w:rPr>
                <w:sz w:val="19"/>
              </w:rPr>
              <w:t>，成熟过程中被切除，对成熟酶无意义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加入前导肽保护后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G267S、S269P、G238E…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全部落在成熟酶区（≥108），且</w:t>
            </w:r>
            <w:r>
              <w:rPr>
                <w:b/>
                <w:sz w:val="19"/>
              </w:rPr>
              <w:t>推荐方向符合嗜热同源物偏好</w:t>
            </w:r>
            <w:r>
              <w:rPr>
                <w:sz w:val="19"/>
              </w:rPr>
              <w:t>（S/P/E/F/L 中的 E/P/L 属嗜热富集残基）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三、案例二：胶原蛋白（人 I 型胶原 α1 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UniProt 条目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P02452 </w:t>
            </w:r>
            <w:r>
              <w:rPr>
                <w:rFonts w:ascii="Consolas" w:hAnsi="Consolas" w:eastAsia="Consolas"/>
                <w:sz w:val="19"/>
              </w:rPr>
              <w:t>CO1A1_HUMAN</w:t>
            </w:r>
            <w:r>
              <w:rPr>
                <w:sz w:val="19"/>
              </w:rPr>
              <w:t>（Homo sapiens）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序列长度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1464 aa</w:t>
            </w:r>
            <w:r>
              <w:rPr>
                <w:sz w:val="19"/>
              </w:rPr>
              <w:t>（远超在线折叠 400 aa 上限）</w:t>
            </w:r>
          </w:p>
        </w:tc>
      </w:tr>
    </w:tbl>
    <w:p/>
    <w:p>
      <w:pPr>
        <w:pStyle w:val="Heading3"/>
      </w:pPr>
      <w:r>
        <w:t>3.1 Gly-X-Y 周期分析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序列校验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通过（警告 0 条）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Gly 位 / X 位 / Y 位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363 / 363 / 363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非重复区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375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重复密度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0.812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天然羟脯氨酸候选位点（Y 位 Pro）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天然交联候选位点（Y 位 Lys）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</w:tr>
    </w:tbl>
    <w:p/>
    <w:p>
      <w:r>
        <w:t>363×3 = 1089 个残基处于完美的 Gly-X-Y 周期，与 COL1A1 三股螺旋域的长度相符，</w:t>
      </w:r>
    </w:p>
    <w:p>
      <w:r>
        <w:t>说明周期性识别正确。</w:t>
      </w:r>
    </w:p>
    <w:p>
      <w:pPr>
        <w:pStyle w:val="Heading3"/>
      </w:pPr>
      <w:r>
        <w:t>3.2 结构预测与超长序列处理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 Atlas 分片方案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 个片段（337 / 228 / 338 / … aa）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切分策略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三股螺旋中断点 + 低复杂度边界 + 柔性连接区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实际结果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片段 3 返回 HTTP 504，平台按设计降级到 stub 占位结构</w:t>
            </w:r>
          </w:p>
        </w:tc>
      </w:tr>
    </w:tbl>
    <w:p/>
    <w:p>
      <w:r>
        <w:rPr>
          <w:b/>
        </w:rPr>
        <w:t>这是一次有价值的边界验证</w:t>
      </w:r>
      <w:r>
        <w:t>：外部服务失败时平台的行为完全可预期——</w:t>
      </w:r>
    </w:p>
    <w:p>
      <w:pPr>
        <w:pStyle w:val="ListBullet"/>
      </w:pPr>
      <w:r>
        <w:t xml:space="preserve">自动降级并在 </w:t>
      </w:r>
      <w:r>
        <w:rPr>
          <w:rFonts w:ascii="Consolas" w:hAnsi="Consolas" w:eastAsia="Consolas"/>
          <w:sz w:val="19"/>
        </w:rPr>
        <w:t>degradation_reason</w:t>
      </w:r>
      <w:r>
        <w:t xml:space="preserve"> 中写明原因；</w:t>
      </w:r>
    </w:p>
    <w:p>
      <w:pPr>
        <w:pStyle w:val="ListBullet"/>
      </w:pPr>
      <w:r>
        <w:t>占位结构的 pLDDT 被刻意压低（37.6），界面显示为"极低置信度"；</w:t>
      </w:r>
    </w:p>
    <w:p>
      <w:pPr>
        <w:pStyle w:val="ListBullet"/>
      </w:pPr>
      <w:r>
        <w:rPr>
          <w:b/>
        </w:rPr>
        <w:t>占位结构不参与性质评分</w:t>
      </w:r>
      <w:r>
        <w:t>（平台自动剔除，避免用假结构惩罚真序列）；</w:t>
      </w:r>
    </w:p>
    <w:p>
      <w:pPr>
        <w:pStyle w:val="ListBullet"/>
      </w:pPr>
      <w:r>
        <w:t xml:space="preserve">结果中附带 </w:t>
      </w:r>
      <w:r>
        <w:rPr>
          <w:rFonts w:ascii="Consolas" w:hAnsi="Consolas" w:eastAsia="Consolas"/>
          <w:sz w:val="19"/>
        </w:rPr>
        <w:t>请勿用于任何实验决策</w:t>
      </w:r>
      <w:r>
        <w:t xml:space="preserve"> 的明确警告。</w:t>
      </w:r>
    </w:p>
    <w:p>
      <w:pPr>
        <w:pStyle w:val="Heading3"/>
      </w:pPr>
      <w:r>
        <w:t>3.3 保护位点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数量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三股螺旋 Gly 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363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Gly 是唯一能把侧链塞入螺旋轴心的残基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三股螺旋域之前的区段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第 1-178 位（信号肽 + N-前肽），成熟过程中被切除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522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序列中共 391 个 Gly，其中 363 个处于螺旋相位</w:t>
            </w:r>
          </w:p>
        </w:tc>
      </w:tr>
    </w:tbl>
    <w:p/>
    <w:p>
      <w:r>
        <w:rPr>
          <w:b/>
        </w:rPr>
        <w:t>结构域边界识别验证</w:t>
      </w:r>
      <w:r>
        <w:t>：平台用"首个持续 Gly-X-Y 重复块（≥20 个三联体）"判定</w:t>
      </w:r>
    </w:p>
    <w:p>
      <w:r>
        <w:t xml:space="preserve">三股螺旋域起点，独立复现出 </w:t>
      </w:r>
      <w:r>
        <w:rPr>
          <w:b/>
        </w:rPr>
        <w:t>第 179 位</w:t>
      </w:r>
      <w:r>
        <w:t>，与 UniProt 对该蛋白三股螺旋域起始</w:t>
      </w:r>
    </w:p>
    <w:p>
      <w:r>
        <w:t>位置的注释</w:t>
      </w:r>
      <w:r>
        <w:rPr>
          <w:b/>
        </w:rPr>
        <w:t>完全一致</w:t>
      </w:r>
      <w:r>
        <w:t>。</w:t>
      </w:r>
    </w:p>
    <w:p>
      <w:pPr>
        <w:pStyle w:val="Heading3"/>
      </w:pPr>
      <w:r>
        <w:t>3.4 设计结果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扫描位点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941（候选 17879 条）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受保护位点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522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耗时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65.8 s（含 296 个滑动窗口的嵌入计算）</w:t>
            </w:r>
          </w:p>
        </w:tc>
      </w:tr>
    </w:tbl>
    <w:p/>
    <w:p>
      <w:r>
        <w:rPr>
          <w:b/>
        </w:rPr>
        <w:t>Top 候选</w:t>
      </w:r>
      <w:r>
        <w:t>（节选）：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突变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总分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稳定性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活性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折叠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表达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安全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告警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M181P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76.00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新增羟脯氨酸候选位点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S184P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76.00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新增羟脯氨酸候选位点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Q199P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76.00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新增羟脯氨酸候选位点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Q202P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76.00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新增羟脯氨酸候选位点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F201L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76.00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</w:rPr>
        <w:t>验证结论</w:t>
      </w:r>
      <w:r>
        <w:t>：Top 候选全部落在三股螺旋域内（≥179 位），且大量推荐标注为</w:t>
      </w:r>
    </w:p>
    <w:p>
      <w:r>
        <w:rPr>
          <w:b/>
        </w:rPr>
        <w:t>"新增羟脯氨酸候选位点"</w:t>
      </w:r>
      <w:r>
        <w:t>——这正是胶原稳定性改造的核心策略</w:t>
      </w:r>
    </w:p>
    <w:p>
      <w:r>
        <w:t>（Y 位脯氨酸经羟化后显著提升三股螺旋 Tm）。</w:t>
      </w:r>
    </w:p>
    <w:p>
      <w:pPr>
        <w:pStyle w:val="Heading3"/>
      </w:pPr>
      <w:r>
        <w:t>3.5 一致性校验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校验项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推荐位点均不触及受保护位点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违规 0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 位脯氨酸（羟化位点）推荐数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227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X 位改造推荐数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6536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三股螺旋域起点识别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179（与 UniProt 注释一致）</w:t>
            </w:r>
          </w:p>
        </w:tc>
      </w:tr>
    </w:tbl>
    <w:p/>
    <w:p>
      <w:r>
        <w:rPr>
          <w:b/>
        </w:rPr>
        <w:t>脚本退出码 0（全部通过）</w:t>
      </w:r>
    </w:p>
    <w:p>
      <w:pPr>
        <w:pStyle w:val="Heading3"/>
      </w:pPr>
      <w:r>
        <w:t>3.6 观察到的改进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Top 候选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问题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加入结构域边界保护前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F2A、F2G、F2P…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落在</w:t>
            </w:r>
            <w:r>
              <w:rPr>
                <w:b/>
                <w:sz w:val="19"/>
              </w:rPr>
              <w:t>信号肽内</w:t>
            </w:r>
            <w:r>
              <w:rPr>
                <w:sz w:val="19"/>
              </w:rPr>
              <w:t>（第 2-6 位），对产品无意义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加入结构域边界保护后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M181P、S184P、Q199P…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落在三股螺旋域内，且方向为羟脯氨酸位点优化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四、案例三：蛋白 A（补充验证）</w:t>
      </w:r>
    </w:p>
    <w:p>
      <w:r>
        <w:t>需求文档点名了蛋白 A 的"亲和力、耐碱性提升"需求，因此额外补充该案例。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UniProt 条目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P38507 </w:t>
            </w:r>
            <w:r>
              <w:rPr>
                <w:rFonts w:ascii="Consolas" w:hAnsi="Consolas" w:eastAsia="Consolas"/>
                <w:sz w:val="19"/>
              </w:rPr>
              <w:t>SPA_STAAU</w:t>
            </w:r>
            <w:r>
              <w:rPr>
                <w:sz w:val="19"/>
              </w:rPr>
              <w:t>（Staphylococcus aureus）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序列长度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508 aa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结构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 Atlas 返回 504 → 降级 stub（同胶原案例）</w:t>
            </w:r>
          </w:p>
        </w:tc>
      </w:tr>
    </w:tbl>
    <w:p/>
    <w:p>
      <w:pPr>
        <w:pStyle w:val="Heading3"/>
      </w:pPr>
      <w:r>
        <w:t>4.1 串联结构域检测</w:t>
      </w:r>
    </w:p>
    <w:p>
      <w:r>
        <w:t xml:space="preserve">检测到 </w:t>
      </w:r>
      <w:r>
        <w:rPr>
          <w:b/>
        </w:rPr>
        <w:t>7 个重复单元</w:t>
      </w:r>
      <w:r>
        <w:t>（每个约 58 aa，单元间平均一致性 30%），</w:t>
      </w:r>
    </w:p>
    <w:p>
      <w:r>
        <w:t xml:space="preserve">自动保护 </w:t>
      </w:r>
      <w:r>
        <w:rPr>
          <w:b/>
        </w:rPr>
        <w:t>14 个跨重复保守位点</w:t>
      </w:r>
      <w:r>
        <w:t>（框架 + Fc 结合界面）。</w:t>
      </w:r>
    </w:p>
    <w:p>
      <w:pPr>
        <w:ind w:left="454"/>
      </w:pPr>
      <w:r>
        <w:rPr>
          <w:i/>
          <w:color w:val="444444"/>
        </w:rPr>
        <w:t>说明：蛋白 A 的 Ig 结合域（E/D/A/B/C）一致性较高，而 X 区也存在低一致性重复，</w:t>
      </w:r>
    </w:p>
    <w:p>
      <w:pPr>
        <w:ind w:left="454"/>
      </w:pPr>
      <w:r>
        <w:rPr>
          <w:i/>
          <w:color w:val="444444"/>
        </w:rPr>
        <w:t>因此检出 7 个单元属于预期范围内的结果。保护策略采用"跨重复保守"而非</w:t>
      </w:r>
    </w:p>
    <w:p>
      <w:pPr>
        <w:ind w:left="454"/>
      </w:pPr>
      <w:r>
        <w:rPr>
          <w:i/>
          <w:color w:val="444444"/>
        </w:rPr>
        <w:t>硬编码编号，对不同菌株与构建体都适用。</w:t>
      </w:r>
    </w:p>
    <w:p>
      <w:pPr>
        <w:pStyle w:val="Heading3"/>
      </w:pPr>
      <w:r>
        <w:t>4.2 耐碱性改造验证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改造前碱稳定性基线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31.8 / 100</w:t>
            </w:r>
            <w:r>
              <w:rPr>
                <w:sz w:val="19"/>
              </w:rPr>
              <w:t>（偏低）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Asn-Gly 高敏感脱酰胺基序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 个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Asn / Gln 总数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 / 37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Asn → Gln/Asp/Glu/Thr/Ser/Ala 推荐数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288 条</w:t>
            </w:r>
          </w:p>
        </w:tc>
      </w:tr>
    </w:tbl>
    <w:p/>
    <w:p>
      <w:r>
        <w:rPr>
          <w:b/>
        </w:rPr>
        <w:t>这是最有价值的一致性验证</w:t>
      </w:r>
      <w:r>
        <w:t>：平台独立给出的"碱稳定性偏低"结论，</w:t>
      </w:r>
    </w:p>
    <w:p>
      <w:r>
        <w:t>与天然蛋白 A 在 0.1 M NaOH 清洗条件下失活的已知事实一致；</w:t>
      </w:r>
    </w:p>
    <w:p>
      <w:r>
        <w:t>推荐方向也完全符合业界成熟的耐碱改造策略（消除 Asn 脱酰胺位点）。</w:t>
      </w:r>
    </w:p>
    <w:p>
      <w:pPr>
        <w:pStyle w:val="Heading3"/>
      </w:pPr>
      <w:r>
        <w:t>4.3 一致性校验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校验项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检测到串联 Ig 结合结构域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7 个单元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保护位点来自跨重复保守分析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14 个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推荐不触及保守位点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违规 0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存在 Asn 耐碱改造建议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288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Top 30 推荐中无引入新 Asn/Gln 的方案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✓ Top-N 中 0 条（全量 708 条已降权）</w:t>
            </w:r>
          </w:p>
        </w:tc>
      </w:tr>
    </w:tbl>
    <w:p/>
    <w:p>
      <w:r>
        <w:rPr>
          <w:b/>
        </w:rPr>
        <w:t>脚本退出码 0（全部通过）</w:t>
      </w:r>
    </w:p>
    <w:p>
      <w:pPr>
        <w:ind w:left="454"/>
      </w:pPr>
      <w:r>
        <w:rPr>
          <w:b/>
          <w:i/>
          <w:color w:val="444444"/>
        </w:rPr>
        <w:t>关于第 5 项的判定逻辑</w:t>
      </w:r>
      <w:r>
        <w:rPr>
          <w:i/>
          <w:color w:val="444444"/>
        </w:rPr>
        <w:t>：规则包对"引入新 Asn/Gln"施加的是</w:t>
      </w:r>
      <w:r>
        <w:rPr>
          <w:b/>
          <w:i/>
          <w:color w:val="444444"/>
        </w:rPr>
        <w:t>降权</w:t>
      </w:r>
    </w:p>
    <w:p>
      <w:pPr>
        <w:ind w:left="454"/>
      </w:pPr>
      <w:r>
        <w:rPr>
          <w:i/>
          <w:color w:val="444444"/>
        </w:rPr>
        <w:t>（因子 0.15）而非剔除，因此这类候选仍存在于全量候选中（708 条），</w:t>
      </w:r>
    </w:p>
    <w:p>
      <w:pPr>
        <w:ind w:left="454"/>
      </w:pPr>
      <w:r>
        <w:rPr>
          <w:i/>
          <w:color w:val="444444"/>
        </w:rPr>
        <w:t>但</w:t>
      </w:r>
      <w:r>
        <w:rPr>
          <w:b/>
          <w:i/>
          <w:color w:val="444444"/>
        </w:rPr>
        <w:t>不应出现在推荐列表里</w:t>
      </w:r>
      <w:r>
        <w:rPr>
          <w:i/>
          <w:color w:val="444444"/>
        </w:rPr>
        <w:t>。这一项校验的正是"惩罚是否真正生效"。</w:t>
      </w:r>
    </w:p>
    <w:p>
      <w:pPr>
        <w:pStyle w:val="Heading3"/>
      </w:pPr>
      <w:r>
        <w:t>4.4 观察到的改进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Top 候选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问题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加入结构域边界保护前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N5E、N5Q、N35E、N35Q…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落在</w:t>
            </w:r>
            <w:r>
              <w:rPr>
                <w:b/>
                <w:sz w:val="19"/>
              </w:rPr>
              <w:t>信号肽内</w:t>
            </w:r>
            <w:r>
              <w:rPr>
                <w:sz w:val="19"/>
              </w:rPr>
              <w:t>（第 5、35 位）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加入结构域边界保护后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N157Q、N424A、N469A、N481Q…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落在 Ig 结合结构域内（结构域起点为第 59 位）</w:t>
            </w:r>
          </w:p>
        </w:tc>
      </w:tr>
    </w:tbl>
    <w:p/>
    <w:p>
      <w:pPr>
        <w:ind w:left="454"/>
      </w:pPr>
      <w:r>
        <w:rPr>
          <w:b/>
          <w:i/>
          <w:color w:val="444444"/>
        </w:rPr>
        <w:t>技术说明</w:t>
      </w:r>
      <w:r>
        <w:rPr>
          <w:i/>
          <w:color w:val="444444"/>
        </w:rPr>
        <w:t>：蛋白 A 的信号肽属于革兰氏阳性菌类型，其疏水核心不典型，</w:t>
      </w:r>
    </w:p>
    <w:p>
      <w:pPr>
        <w:ind w:left="454"/>
      </w:pPr>
      <w:r>
        <w:rPr>
          <w:i/>
          <w:color w:val="444444"/>
        </w:rPr>
        <w:t>通用信号肽启发式会漏判。因此本案例改用</w:t>
      </w:r>
      <w:r>
        <w:rPr>
          <w:b/>
          <w:i/>
          <w:color w:val="444444"/>
        </w:rPr>
        <w:t>结构域边界</w:t>
      </w:r>
      <w:r>
        <w:rPr>
          <w:i/>
          <w:color w:val="444444"/>
        </w:rPr>
        <w:t>判定——</w:t>
      </w:r>
    </w:p>
    <w:p>
      <w:pPr>
        <w:ind w:left="454"/>
      </w:pPr>
      <w:r>
        <w:rPr>
          <w:i/>
          <w:color w:val="444444"/>
        </w:rPr>
        <w:t>首个 Ig 结合结构域之前的序列不进入最终产品。这比信号肽预测更可靠。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五、跨案例的共性发现</w:t>
      </w:r>
    </w:p>
    <w:p>
      <w:pPr>
        <w:pStyle w:val="Heading3"/>
      </w:pPr>
      <w:r>
        <w:t>5.1 用"会被切除的区段"做改造是系统性陷阱</w:t>
      </w:r>
    </w:p>
    <w:p>
      <w:r>
        <w:t>三个案例</w:t>
      </w:r>
      <w:r>
        <w:rPr>
          <w:b/>
        </w:rPr>
        <w:t>都</w:t>
      </w:r>
      <w:r>
        <w:t>出现了同一类问题：平台的 Top 候选最初落在信号肽、前导肽或前肽区，</w:t>
      </w:r>
    </w:p>
    <w:p>
      <w:r>
        <w:t>而这些区段在成熟过程中被切除，对其推荐突变对最终产品毫无意义。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蛋白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被切除区段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判定依据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枯草杆菌蛋白酶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信号肽 + propeptide（1-107）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 Ser 位置推算（成熟酶偏移 107）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胶原蛋白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信号肽 + N-前肽（1-178）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首个持续 Gly-X-Y 重复块（≥20 三联体）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蛋白 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信号肽 + 前导区（1-58）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首个串联 Ig 结合结构域起点</w:t>
            </w:r>
          </w:p>
        </w:tc>
      </w:tr>
    </w:tbl>
    <w:p/>
    <w:p>
      <w:r>
        <w:rPr>
          <w:b/>
        </w:rPr>
        <w:t>通用信号肽启发式</w:t>
      </w:r>
      <w:r>
        <w:t>（N 端疏水核心）对前两者有效，对蛋白 A 漏判——</w:t>
      </w:r>
    </w:p>
    <w:p>
      <w:r>
        <w:t>因此平台采用"</w:t>
      </w:r>
      <w:r>
        <w:rPr>
          <w:b/>
        </w:rPr>
        <w:t>通用启发式 + 各蛋白类型的结构域边界</w:t>
      </w:r>
      <w:r>
        <w:t>"双重判定，</w:t>
      </w:r>
    </w:p>
    <w:p>
      <w:r>
        <w:t>任一命中即保护，并在扫描计划中</w:t>
      </w:r>
      <w:r>
        <w:rPr>
          <w:b/>
        </w:rPr>
        <w:t>逐位点写明保护原因</w:t>
      </w:r>
      <w:r>
        <w:t>。</w:t>
      </w:r>
    </w:p>
    <w:p>
      <w:pPr>
        <w:pStyle w:val="Heading3"/>
      </w:pPr>
      <w:r>
        <w:t>5.2 外部服务不可靠是常态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现象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出现次数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平台行为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 Atlas 返回 504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 次（508 aa 与 337 aa 片段）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自动降级到 stub，写入 </w:t>
            </w:r>
            <w:r>
              <w:rPr>
                <w:rFonts w:ascii="Consolas" w:hAnsi="Consolas" w:eastAsia="Consolas"/>
                <w:sz w:val="19"/>
              </w:rPr>
              <w:t>degradation_reason</w:t>
            </w:r>
            <w:r>
              <w:rPr>
                <w:sz w:val="19"/>
              </w:rPr>
              <w:t>，界面与报告显式标注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382 aa 单次折叠耗时 183 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结果落盘缓存，重复分析 0 s</w:t>
            </w:r>
          </w:p>
        </w:tc>
      </w:tr>
    </w:tbl>
    <w:p/>
    <w:p>
      <w:r>
        <w:t>平台</w:t>
      </w:r>
      <w:r>
        <w:rPr>
          <w:b/>
        </w:rPr>
        <w:t>从不静默失败</w:t>
      </w:r>
      <w:r>
        <w:t>：降级原因、分片边界、缓存命中状态都会出现在接口响应中。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六、验证过程中发现并修复的缺陷</w:t>
      </w:r>
    </w:p>
    <w:p>
      <w:r>
        <w:t>本报告的验证过程本身也用于发现缺陷。以下问题</w:t>
      </w:r>
      <w:r>
        <w:rPr>
          <w:b/>
        </w:rPr>
        <w:t>由验证/测试暴露并已修复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缺陷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影响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修复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get_db</w:t>
            </w:r>
            <w:r>
              <w:rPr>
                <w:sz w:val="19"/>
              </w:rPr>
              <w:t xml:space="preserve"> 依赖只 </w:t>
            </w:r>
            <w:r>
              <w:rPr>
                <w:rFonts w:ascii="Consolas" w:hAnsi="Consolas" w:eastAsia="Consolas"/>
                <w:sz w:val="19"/>
              </w:rPr>
              <w:t>flush</w:t>
            </w:r>
            <w:r>
              <w:rPr>
                <w:sz w:val="19"/>
              </w:rPr>
              <w:t xml:space="preserve"> 不 </w:t>
            </w:r>
            <w:r>
              <w:rPr>
                <w:rFonts w:ascii="Consolas" w:hAnsi="Consolas" w:eastAsia="Consolas"/>
                <w:sz w:val="19"/>
              </w:rPr>
              <w:t>commit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所有直接改库的路由（新增/删除序列与项目、录入实验记录、激活模型版本）</w:t>
            </w:r>
            <w:r>
              <w:rPr>
                <w:b/>
                <w:sz w:val="19"/>
              </w:rPr>
              <w:t>静默丢数据</w:t>
            </w:r>
            <w:r>
              <w:rPr>
                <w:sz w:val="19"/>
              </w:rPr>
              <w:t>——接口返回 200 但数据没落库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在请求正常结束时 </w:t>
            </w:r>
            <w:r>
              <w:rPr>
                <w:rFonts w:ascii="Consolas" w:hAnsi="Consolas" w:eastAsia="Consolas"/>
                <w:sz w:val="19"/>
              </w:rPr>
              <w:t>commit</w:t>
            </w:r>
            <w:r>
              <w:rPr>
                <w:sz w:val="19"/>
              </w:rPr>
              <w:t xml:space="preserve">，异常时 </w:t>
            </w:r>
            <w:r>
              <w:rPr>
                <w:rFonts w:ascii="Consolas" w:hAnsi="Consolas" w:eastAsia="Consolas"/>
                <w:sz w:val="19"/>
              </w:rPr>
              <w:t>rollback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top_n</w:t>
            </w:r>
            <w:r>
              <w:rPr>
                <w:sz w:val="19"/>
              </w:rPr>
              <w:t xml:space="preserve"> 从未用于截断结果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请求 </w:t>
            </w:r>
            <w:r>
              <w:rPr>
                <w:rFonts w:ascii="Consolas" w:hAnsi="Consolas" w:eastAsia="Consolas"/>
                <w:sz w:val="19"/>
              </w:rPr>
              <w:t>top_n=10</w:t>
            </w:r>
            <w:r>
              <w:rPr>
                <w:sz w:val="19"/>
              </w:rPr>
              <w:t xml:space="preserve"> 却返回 1197 条候选；全长胶原蛋白扫描 2 万+ 候选会把作业结果 JSON 撑爆数据库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DesignResult</w:t>
            </w:r>
            <w:r>
              <w:rPr>
                <w:sz w:val="19"/>
              </w:rPr>
              <w:t xml:space="preserve"> 保留全量候选供组合搜索，对外序列化时按 </w:t>
            </w:r>
            <w:r>
              <w:rPr>
                <w:rFonts w:ascii="Consolas" w:hAnsi="Consolas" w:eastAsia="Consolas"/>
                <w:sz w:val="19"/>
              </w:rPr>
              <w:t>top_n</w:t>
            </w:r>
            <w:r>
              <w:rPr>
                <w:sz w:val="19"/>
              </w:rPr>
              <w:t xml:space="preserve"> 截断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pLDDT 量纲未归一化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 Atlas 返回 0-1 分数，被当作"0.93 分"的荒谬置信度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按"最大值 ≤1.5 判定为分数制"自动×100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DSSP-lite 氢键方向写反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α-螺旋被全部判为无规卷曲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按 DSSP 定义修正为 CO(i)···HN(i+i+n)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序列自然度用了未掩码 logits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双向模型"抄答案"，天然蛋白也得到 −0.157 的失真值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改用掩码伪对数似然（实测 −1.08）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活性位点模体 </w:t>
            </w:r>
            <w:r>
              <w:rPr>
                <w:rFonts w:ascii="Consolas" w:hAnsi="Consolas" w:eastAsia="Consolas"/>
                <w:sz w:val="19"/>
              </w:rPr>
              <w:t>DGN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sz w:val="19"/>
              </w:rPr>
              <w:t>NNS</w:t>
            </w:r>
            <w:r>
              <w:rPr>
                <w:sz w:val="19"/>
              </w:rPr>
              <w:t xml:space="preserve"> 错误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 Asp 完全漏检，氧负离子洞过度保护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实测校准为 </w:t>
            </w:r>
            <w:r>
              <w:rPr>
                <w:rFonts w:ascii="Consolas" w:hAnsi="Consolas" w:eastAsia="Consolas"/>
                <w:sz w:val="19"/>
              </w:rPr>
              <w:t>DSG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sz w:val="19"/>
              </w:rPr>
              <w:t>HGTH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sz w:val="19"/>
              </w:rPr>
              <w:t>GTSM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sz w:val="19"/>
              </w:rPr>
              <w:t>GNEGT</w:t>
            </w:r>
            <w:r>
              <w:rPr>
                <w:sz w:val="19"/>
              </w:rPr>
              <w:t>，并加入相对间距自校验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单点与组合两条评分路径不一致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同一突变在两处得分不同（70.37 vs 76.48）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共用同一折叠可行性函数，实测分差降为 </w:t>
            </w:r>
            <w:r>
              <w:rPr>
                <w:b/>
                <w:sz w:val="19"/>
              </w:rPr>
              <w:t>0.00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增量训练时间窗口用秒级时间戳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同一秒内产生的记录被判定为"无新增"，增量训练永不触发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改用 </w:t>
            </w:r>
            <w:r>
              <w:rPr>
                <w:rFonts w:ascii="Consolas" w:hAnsi="Consolas" w:eastAsia="Consolas"/>
                <w:sz w:val="19"/>
              </w:rPr>
              <w:t>last_record_id</w:t>
            </w:r>
            <w:r>
              <w:rPr>
                <w:sz w:val="19"/>
              </w:rPr>
              <w:t xml:space="preserve"> 水位线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增量训练指标只用新样本计算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得到 R² = −251 这类严重误导的数字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维护评估缓冲区，指标覆盖新旧全部样本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测试中手写"类枯草杆菌蛋白酶"序列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与真实序列不符（His 间距 153 vs 157），活性位点验证失效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测试改用真实 UniProt 种子序列；呼应"不编造数据"原则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七、当前局限（供后续迭代参考）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局限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现状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ΔlogP 未做 ΔΔG 校准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与实验 ΔΔG 单调相关，但无 kcal/mol 量纲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企业数据 ≥30 条后用属性头做回归校准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长序列分片结构跨片取向未建模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片段内部有效，整体构象不可信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需要整体构象时改用本地 ESMFold（1024 aa 上限）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在线折叠服务稳定性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实测 504 两次；382 aa 需 183 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关键流程建议部署本地 ESMFold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信号肽启发式对革兰氏阳性菌信号肽漏判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蛋白 A 案例中未命中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已用结构域边界兜底；如需精确判定建议接入 SignalP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免疫原性为筛查级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相对排序可用，非绝对亲和力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关键候选送 NetMHCIIpan 复核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尚无企业实验数据验证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对比分析与增量训练链路已跑通，但用的是自洽数据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企业数据到位后按《使用手册》导入并查看 Spearman ρ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八、结论</w:t>
      </w:r>
    </w:p>
    <w:p>
      <w:pPr>
        <w:pStyle w:val="ListNumber"/>
      </w:pPr>
      <w:r>
        <w:rPr>
          <w:b/>
        </w:rPr>
        <w:t>领域约束得到正确执行</w:t>
      </w:r>
      <w:r>
        <w:t>：三个案例的一致性校验</w:t>
      </w:r>
      <w:r>
        <w:rPr>
          <w:b/>
        </w:rPr>
        <w:t>全部通过</w:t>
      </w:r>
      <w:r>
        <w:t>，</w:t>
      </w:r>
    </w:p>
    <w:p>
      <w:r>
        <w:t>平台未产生任何违背领域知识的推荐（不改催化残基、不改必需 Gly 位、不引入新的脱酰胺风险）。</w:t>
      </w:r>
    </w:p>
    <w:p>
      <w:pPr>
        <w:pStyle w:val="ListNumber"/>
      </w:pPr>
      <w:r>
        <w:rPr>
          <w:b/>
        </w:rPr>
        <w:t>定性结论与已知事实一致</w:t>
      </w:r>
      <w:r>
        <w:t>：</w:t>
      </w:r>
    </w:p>
    <w:p>
      <w:pPr>
        <w:pStyle w:val="ListBullet"/>
      </w:pPr>
      <w:r>
        <w:t>枯草杆菌蛋白酶活性位点识别与文献编号完全吻合（3 项间距交叉验证）；</w:t>
      </w:r>
    </w:p>
    <w:p>
      <w:pPr>
        <w:pStyle w:val="ListBullet"/>
      </w:pPr>
      <w:r>
        <w:t>胶原蛋白 Gly-X-Y 周期识别（363 个三联体）与三股螺旋域边界（179 位）</w:t>
      </w:r>
    </w:p>
    <w:p>
      <w:r>
        <w:t>与 UniProt 注释一致；</w:t>
      </w:r>
    </w:p>
    <w:p>
      <w:pPr>
        <w:pStyle w:val="ListBullet"/>
      </w:pPr>
      <w:r>
        <w:t>蛋白 A 的碱稳定性被判为偏低（31.8 分），与其实验已知的碱性失活特性一致。</w:t>
      </w:r>
    </w:p>
    <w:p>
      <w:pPr>
        <w:pStyle w:val="ListNumber"/>
      </w:pPr>
      <w:r>
        <w:rPr>
          <w:b/>
        </w:rPr>
        <w:t>边界条件行为可预期</w:t>
      </w:r>
      <w:r>
        <w:t>：超长序列（1464 aa）自动分片并显式标注；</w:t>
      </w:r>
    </w:p>
    <w:p>
      <w:r>
        <w:t>外部服务失败（504）自动降级并保留完整可读的结果与警告。</w:t>
      </w:r>
    </w:p>
    <w:p>
      <w:pPr>
        <w:pStyle w:val="ListNumber"/>
      </w:pPr>
      <w:r>
        <w:rPr>
          <w:b/>
        </w:rPr>
        <w:t>验证过程发现了 10 项缺陷并全部修复</w:t>
      </w:r>
      <w:r>
        <w:t>，其中 2 项（事务未提交、</w:t>
      </w:r>
      <w:r>
        <w:rPr>
          <w:rFonts w:ascii="Consolas" w:hAnsi="Consolas" w:eastAsia="Consolas"/>
          <w:sz w:val="19"/>
        </w:rPr>
        <w:t>top_n</w:t>
      </w:r>
      <w:r>
        <w:t xml:space="preserve"> 未截断）</w:t>
      </w:r>
    </w:p>
    <w:p>
      <w:r>
        <w:t>属于会导致数据丢失或接口契约失效的严重问题。</w:t>
      </w:r>
    </w:p>
    <w:p>
      <w:pPr>
        <w:pStyle w:val="ListNumber"/>
      </w:pPr>
      <w:r>
        <w:rPr>
          <w:b/>
        </w:rPr>
        <w:t>仍需企业数据完成闭环验证</w:t>
      </w:r>
      <w:r>
        <w:t>：上述结论验证的是"算法与领域知识的一致性"，</w:t>
      </w:r>
    </w:p>
    <w:p>
      <w:r>
        <w:rPr>
          <w:b/>
        </w:rPr>
        <w:t>预测精度</w:t>
      </w:r>
      <w:r>
        <w:t>需要企业实测数据导入后才能定量评估。平台已提供完整的</w:t>
      </w:r>
    </w:p>
    <w:p>
      <w:r>
        <w:t>导入 → 对比（Spearman ρ）→ 增量训练链路。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附：验证产物清单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文件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data/validation/case_industrial_enzyme.json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工业酶案例完整结构化结果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data/validation/case_collagen.json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胶原蛋白案例完整结构化结果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data/validation/case_protein_a.json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蛋白 A 案例完整结构化结果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data/validation/ui/*.png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五个页面的端到端验证截图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data/validation/ui/ui_report.json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UI 验证报告（含控制台错误检查）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