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0117" w14:textId="77777777" w:rsidR="00B0100B" w:rsidRDefault="00117112">
      <w:pPr>
        <w:spacing w:before="1200" w:after="204" w:line="420" w:lineRule="auto"/>
        <w:jc w:val="center"/>
        <w:rPr>
          <w:color w:val="1565C0"/>
        </w:rPr>
      </w:pPr>
      <w:r>
        <w:rPr>
          <w:rFonts w:ascii="微软雅黑" w:eastAsia="微软雅黑" w:hAnsi="微软雅黑" w:cs="微软雅黑" w:hint="eastAsia"/>
          <w:b/>
          <w:color w:val="1565C0"/>
          <w:spacing w:val="33"/>
          <w:sz w:val="22"/>
        </w:rPr>
        <w:t>数据分析报告</w:t>
      </w:r>
    </w:p>
    <w:p w14:paraId="1DF7B3B0" w14:textId="77777777" w:rsidR="00B0100B" w:rsidRDefault="00117112">
      <w:pPr>
        <w:spacing w:before="204" w:after="204" w:line="336" w:lineRule="auto"/>
        <w:jc w:val="center"/>
        <w:rPr>
          <w:color w:val="1A237E"/>
        </w:rPr>
      </w:pPr>
      <w:r>
        <w:rPr>
          <w:rFonts w:ascii="微软雅黑" w:eastAsia="微软雅黑" w:hAnsi="微软雅黑" w:cs="微软雅黑"/>
          <w:b/>
          <w:color w:val="1A237E"/>
          <w:sz w:val="48"/>
        </w:rPr>
        <w:t>UCI Online Retail II</w:t>
      </w:r>
      <w:r>
        <w:br/>
      </w:r>
      <w:r>
        <w:rPr>
          <w:rFonts w:ascii="微软雅黑" w:eastAsia="微软雅黑" w:hAnsi="微软雅黑" w:cs="微软雅黑" w:hint="eastAsia"/>
          <w:b/>
          <w:color w:val="1A237E"/>
          <w:sz w:val="48"/>
        </w:rPr>
        <w:t>在线零售经营分析报告</w:t>
      </w:r>
    </w:p>
    <w:p w14:paraId="42B522BB" w14:textId="77777777" w:rsidR="00B0100B" w:rsidRDefault="00117112">
      <w:pPr>
        <w:spacing w:after="32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  <w:sz w:val="26"/>
        </w:rPr>
        <w:t>基于 2009-12 至 2011-12 全量交易流水的经营诊断</w:t>
      </w:r>
    </w:p>
    <w:p w14:paraId="3A0237D3" w14:textId="77777777" w:rsidR="00B0100B" w:rsidRDefault="00117112">
      <w:pPr>
        <w:spacing w:after="24" w:line="420" w:lineRule="auto"/>
        <w:jc w:val="center"/>
        <w:rPr>
          <w:color w:val="55667A"/>
        </w:rPr>
      </w:pPr>
      <w:r>
        <w:rPr>
          <w:rFonts w:ascii="宋体" w:eastAsia="宋体" w:hAnsi="宋体" w:cs="宋体" w:hint="eastAsia"/>
          <w:color w:val="55667A"/>
        </w:rPr>
        <w:t>数据区间：2009-12-01 — 2011-12-09</w:t>
      </w:r>
    </w:p>
    <w:p w14:paraId="022475F8" w14:textId="77777777" w:rsidR="00B0100B" w:rsidRDefault="00117112">
      <w:pPr>
        <w:spacing w:after="24" w:line="420" w:lineRule="auto"/>
        <w:jc w:val="center"/>
        <w:rPr>
          <w:color w:val="55667A"/>
        </w:rPr>
      </w:pPr>
      <w:r>
        <w:rPr>
          <w:rFonts w:ascii="宋体" w:eastAsia="宋体" w:hAnsi="宋体" w:cs="宋体" w:hint="eastAsia"/>
          <w:color w:val="55667A"/>
        </w:rPr>
        <w:t>分析工具：Python（pandas / mlxtend）、Tableau</w:t>
      </w:r>
    </w:p>
    <w:p w14:paraId="4BCE562D" w14:textId="77777777" w:rsidR="00B0100B" w:rsidRDefault="00117112">
      <w:pPr>
        <w:spacing w:after="24" w:line="420" w:lineRule="auto"/>
        <w:jc w:val="center"/>
        <w:rPr>
          <w:color w:val="55667A"/>
        </w:rPr>
        <w:sectPr w:rsidR="00B0100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720"/>
        </w:sectPr>
      </w:pPr>
      <w:r>
        <w:rPr>
          <w:rFonts w:ascii="宋体" w:eastAsia="宋体" w:hAnsi="宋体" w:cs="宋体" w:hint="eastAsia"/>
          <w:color w:val="55667A"/>
        </w:rPr>
        <w:t>编制：张朝凯　｜　2026 年 10 月</w:t>
      </w:r>
    </w:p>
    <w:p w14:paraId="45CCE733" w14:textId="77777777" w:rsidR="00B0100B" w:rsidRDefault="00117112">
      <w:pPr>
        <w:spacing w:before="240" w:after="120"/>
      </w:pPr>
      <w:r>
        <w:rPr>
          <w:rFonts w:hint="eastAsia"/>
          <w:b/>
        </w:rPr>
        <w:lastRenderedPageBreak/>
        <w:t>目　录</w:t>
      </w:r>
    </w:p>
    <w:p w14:paraId="60CE5AC1" w14:textId="15C77198" w:rsidR="00B0100B" w:rsidRDefault="00117112">
      <w:pPr>
        <w:pStyle w:val="TOC1"/>
        <w:rPr>
          <w:rFonts w:hint="eastAsia"/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section-1" w:history="1">
        <w:r>
          <w:rPr>
            <w:rFonts w:hint="eastAsia"/>
            <w:noProof/>
          </w:rPr>
          <w:t>摘要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3</w:t>
      </w:r>
      <w:r>
        <w:rPr>
          <w:noProof/>
        </w:rPr>
        <w:fldChar w:fldCharType="end"/>
      </w:r>
    </w:p>
    <w:p w14:paraId="677C8609" w14:textId="15CAB070" w:rsidR="00B0100B" w:rsidRDefault="00117112">
      <w:pPr>
        <w:pStyle w:val="TOC1"/>
        <w:rPr>
          <w:rFonts w:hint="eastAsia"/>
          <w:noProof/>
        </w:rPr>
      </w:pPr>
      <w:hyperlink w:anchor="section-2" w:history="1">
        <w:r>
          <w:rPr>
            <w:rFonts w:hint="eastAsia"/>
            <w:noProof/>
          </w:rPr>
          <w:t>一、分析背景与目标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section-2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4</w:t>
      </w:r>
      <w:r>
        <w:rPr>
          <w:noProof/>
        </w:rPr>
        <w:fldChar w:fldCharType="end"/>
      </w:r>
    </w:p>
    <w:p w14:paraId="2F2F0500" w14:textId="222878B3" w:rsidR="00B0100B" w:rsidRDefault="00117112">
      <w:pPr>
        <w:pStyle w:val="TOC1"/>
        <w:rPr>
          <w:rFonts w:hint="eastAsia"/>
          <w:noProof/>
        </w:rPr>
      </w:pPr>
      <w:hyperlink w:anchor="section-3" w:history="1">
        <w:r>
          <w:rPr>
            <w:rFonts w:hint="eastAsia"/>
            <w:noProof/>
          </w:rPr>
          <w:t>二、数据与口径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section-3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5</w:t>
      </w:r>
      <w:r>
        <w:rPr>
          <w:noProof/>
        </w:rPr>
        <w:fldChar w:fldCharType="end"/>
      </w:r>
    </w:p>
    <w:p w14:paraId="39DFA2E6" w14:textId="570E2379" w:rsidR="00B0100B" w:rsidRDefault="00117112">
      <w:pPr>
        <w:pStyle w:val="TOC1"/>
        <w:rPr>
          <w:rFonts w:hint="eastAsia"/>
          <w:noProof/>
        </w:rPr>
      </w:pPr>
      <w:hyperlink w:anchor="section-4" w:history="1">
        <w:r>
          <w:rPr>
            <w:rFonts w:hint="eastAsia"/>
            <w:noProof/>
          </w:rPr>
          <w:t>三、整体经营状况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section-4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8</w:t>
      </w:r>
      <w:r>
        <w:rPr>
          <w:noProof/>
        </w:rPr>
        <w:fldChar w:fldCharType="end"/>
      </w:r>
    </w:p>
    <w:p w14:paraId="5379197C" w14:textId="17E73547" w:rsidR="00B0100B" w:rsidRDefault="00117112">
      <w:pPr>
        <w:pStyle w:val="TOC1"/>
        <w:rPr>
          <w:rFonts w:hint="eastAsia"/>
          <w:noProof/>
        </w:rPr>
      </w:pPr>
      <w:hyperlink w:anchor="section-5" w:history="1">
        <w:r>
          <w:rPr>
            <w:rFonts w:hint="eastAsia"/>
            <w:noProof/>
          </w:rPr>
          <w:t>四、收入来自哪里：地域与时间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11</w:t>
      </w:r>
      <w:r>
        <w:rPr>
          <w:noProof/>
        </w:rPr>
        <w:fldChar w:fldCharType="end"/>
      </w:r>
    </w:p>
    <w:p w14:paraId="67D39245" w14:textId="483C3AE7" w:rsidR="00B0100B" w:rsidRDefault="00117112">
      <w:pPr>
        <w:pStyle w:val="TOC1"/>
        <w:rPr>
          <w:rFonts w:hint="eastAsia"/>
          <w:noProof/>
        </w:rPr>
      </w:pPr>
      <w:hyperlink w:anchor="section-6" w:history="1">
        <w:r>
          <w:rPr>
            <w:rFonts w:hint="eastAsia"/>
            <w:noProof/>
          </w:rPr>
          <w:t>五、客户留存与获客节奏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section-6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12</w:t>
      </w:r>
      <w:r>
        <w:rPr>
          <w:noProof/>
        </w:rPr>
        <w:fldChar w:fldCharType="end"/>
      </w:r>
    </w:p>
    <w:p w14:paraId="3A9F544F" w14:textId="67F5D7E8" w:rsidR="00B0100B" w:rsidRDefault="00117112">
      <w:pPr>
        <w:pStyle w:val="TOC1"/>
        <w:rPr>
          <w:rFonts w:hint="eastAsia"/>
          <w:noProof/>
        </w:rPr>
      </w:pPr>
      <w:hyperlink w:anchor="section-7" w:history="1">
        <w:r>
          <w:rPr>
            <w:rFonts w:hint="eastAsia"/>
            <w:noProof/>
          </w:rPr>
          <w:t>六、客户结构与价值分布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section-7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17</w:t>
      </w:r>
      <w:r>
        <w:rPr>
          <w:noProof/>
        </w:rPr>
        <w:fldChar w:fldCharType="end"/>
      </w:r>
    </w:p>
    <w:p w14:paraId="0D721C1D" w14:textId="796B1F15" w:rsidR="00B0100B" w:rsidRDefault="00117112">
      <w:pPr>
        <w:pStyle w:val="TOC1"/>
        <w:rPr>
          <w:rFonts w:hint="eastAsia"/>
          <w:noProof/>
        </w:rPr>
      </w:pPr>
      <w:hyperlink w:anchor="section-8" w:history="1">
        <w:r>
          <w:rPr>
            <w:rFonts w:hint="eastAsia"/>
            <w:noProof/>
          </w:rPr>
          <w:t>七、商品结构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section-8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20</w:t>
      </w:r>
      <w:r>
        <w:rPr>
          <w:noProof/>
        </w:rPr>
        <w:fldChar w:fldCharType="end"/>
      </w:r>
    </w:p>
    <w:p w14:paraId="6DAD4DF6" w14:textId="790E8120" w:rsidR="00B0100B" w:rsidRDefault="00117112">
      <w:pPr>
        <w:pStyle w:val="TOC1"/>
        <w:rPr>
          <w:rFonts w:hint="eastAsia"/>
          <w:noProof/>
        </w:rPr>
      </w:pPr>
      <w:hyperlink w:anchor="section-9" w:history="1">
        <w:r>
          <w:rPr>
            <w:rFonts w:hint="eastAsia"/>
            <w:noProof/>
          </w:rPr>
          <w:t>八、监控与预警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section-9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23</w:t>
      </w:r>
      <w:r>
        <w:rPr>
          <w:noProof/>
        </w:rPr>
        <w:fldChar w:fldCharType="end"/>
      </w:r>
    </w:p>
    <w:p w14:paraId="2C94D6DF" w14:textId="363A4409" w:rsidR="00B0100B" w:rsidRDefault="00117112">
      <w:pPr>
        <w:pStyle w:val="TOC1"/>
        <w:rPr>
          <w:rFonts w:hint="eastAsia"/>
          <w:noProof/>
        </w:rPr>
      </w:pPr>
      <w:hyperlink w:anchor="section-10" w:history="1">
        <w:r>
          <w:rPr>
            <w:rFonts w:hint="eastAsia"/>
            <w:noProof/>
          </w:rPr>
          <w:t>九、召回策略的成本收益测算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section-10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24</w:t>
      </w:r>
      <w:r>
        <w:rPr>
          <w:noProof/>
        </w:rPr>
        <w:fldChar w:fldCharType="end"/>
      </w:r>
    </w:p>
    <w:p w14:paraId="6503F044" w14:textId="61A91346" w:rsidR="00B0100B" w:rsidRDefault="00117112">
      <w:pPr>
        <w:pStyle w:val="TOC1"/>
        <w:rPr>
          <w:rFonts w:hint="eastAsia"/>
          <w:noProof/>
        </w:rPr>
      </w:pPr>
      <w:hyperlink w:anchor="section-11" w:history="1">
        <w:r>
          <w:rPr>
            <w:rFonts w:hint="eastAsia"/>
            <w:noProof/>
          </w:rPr>
          <w:t>十、结论与建议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section-11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27</w:t>
      </w:r>
      <w:r>
        <w:rPr>
          <w:noProof/>
        </w:rPr>
        <w:fldChar w:fldCharType="end"/>
      </w:r>
    </w:p>
    <w:p w14:paraId="632556F0" w14:textId="569438FE" w:rsidR="00B0100B" w:rsidRDefault="00117112">
      <w:pPr>
        <w:pStyle w:val="TOC1"/>
        <w:rPr>
          <w:rFonts w:hint="eastAsia"/>
          <w:noProof/>
        </w:rPr>
      </w:pPr>
      <w:hyperlink w:anchor="section-12" w:history="1">
        <w:r>
          <w:rPr>
            <w:rFonts w:hint="eastAsia"/>
            <w:noProof/>
          </w:rPr>
          <w:t>十一、局限与后续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section-12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30</w:t>
      </w:r>
      <w:r>
        <w:rPr>
          <w:noProof/>
        </w:rPr>
        <w:fldChar w:fldCharType="end"/>
      </w:r>
    </w:p>
    <w:p w14:paraId="2A852728" w14:textId="5D624689" w:rsidR="00B0100B" w:rsidRDefault="00117112">
      <w:pPr>
        <w:pStyle w:val="TOC1"/>
        <w:rPr>
          <w:rFonts w:hint="eastAsia"/>
        </w:rPr>
      </w:pPr>
      <w:hyperlink w:anchor="section-13" w:history="1">
        <w:r>
          <w:rPr>
            <w:rFonts w:hint="eastAsia"/>
            <w:noProof/>
          </w:rPr>
          <w:t>附录：分析产出清单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section-13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31</w:t>
      </w:r>
      <w:r>
        <w:rPr>
          <w:noProof/>
        </w:rPr>
        <w:fldChar w:fldCharType="end"/>
      </w:r>
      <w:r>
        <w:fldChar w:fldCharType="end"/>
      </w:r>
    </w:p>
    <w:p w14:paraId="513BE792" w14:textId="77777777" w:rsidR="00B0100B" w:rsidRDefault="00B0100B">
      <w:pPr>
        <w:sectPr w:rsidR="00B0100B">
          <w:pgSz w:w="11906" w:h="16838"/>
          <w:pgMar w:top="1440" w:right="1800" w:bottom="1440" w:left="1800" w:header="851" w:footer="992" w:gutter="0"/>
          <w:cols w:space="720"/>
        </w:sectPr>
      </w:pPr>
    </w:p>
    <w:p w14:paraId="022FB52B" w14:textId="77777777" w:rsidR="00B0100B" w:rsidRDefault="00117112">
      <w:pPr>
        <w:pStyle w:val="2"/>
        <w:pBdr>
          <w:top w:val="single" w:sz="18" w:space="0" w:color="1565C0"/>
          <w:bottom w:val="none" w:sz="8" w:space="0" w:color="D6DEE7"/>
        </w:pBdr>
        <w:spacing w:before="204" w:beforeAutospacing="1" w:after="148" w:afterAutospacing="1" w:line="336" w:lineRule="auto"/>
        <w:rPr>
          <w:color w:val="1A237E"/>
          <w:sz w:val="32"/>
          <w:szCs w:val="32"/>
        </w:rPr>
      </w:pPr>
      <w:bookmarkStart w:id="0" w:name="section-1"/>
      <w:r>
        <w:rPr>
          <w:rFonts w:ascii="微软雅黑" w:eastAsia="微软雅黑" w:hAnsi="微软雅黑" w:cs="微软雅黑" w:hint="eastAsia"/>
          <w:color w:val="1A237E"/>
          <w:sz w:val="31"/>
        </w:rPr>
        <w:lastRenderedPageBreak/>
        <w:t>摘要</w:t>
      </w:r>
      <w:bookmarkEnd w:id="0"/>
    </w:p>
    <w:p w14:paraId="7B45E006" w14:textId="77777777" w:rsidR="00B0100B" w:rsidRDefault="00117112">
      <w:pPr>
        <w:pBdr>
          <w:top w:val="single" w:sz="18" w:space="0" w:color="1565C0"/>
          <w:bottom w:val="single" w:sz="6" w:space="0" w:color="D6DEE7"/>
        </w:pBdr>
        <w:spacing w:before="204" w:after="148" w:line="420" w:lineRule="auto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两年期数据的主线可以概括为一句话：这家在线零售商有一批质量很高的老客户，客户留存本身是稳的，走弱的是新客获取；同时商品与市场的集中度都已经接近上限。支撑这个判断的是六个事实。</w:t>
      </w:r>
    </w:p>
    <w:p w14:paraId="42B0493B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清洗后 GMV </w:t>
      </w:r>
      <w:r>
        <w:rPr>
          <w:rFonts w:ascii="宋体" w:eastAsia="宋体" w:hAnsi="宋体" w:cs="宋体" w:hint="eastAsia"/>
          <w:b/>
          <w:color w:val="A61B29"/>
          <w:sz w:val="24"/>
        </w:rPr>
        <w:t>1,707 万英镑</w:t>
      </w:r>
      <w:r>
        <w:rPr>
          <w:rFonts w:ascii="宋体" w:eastAsia="宋体" w:hAnsi="宋体" w:cs="宋体" w:hint="eastAsia"/>
          <w:color w:val="212121"/>
          <w:sz w:val="24"/>
        </w:rPr>
        <w:t>、有效订单 36,639 单、客单价 465.98 英镑，可识别客户 5,861 位。</w:t>
      </w:r>
    </w:p>
    <w:p w14:paraId="7FF6415C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收入集中在英国（84%）与年末两个月（10—11 月合计 25.2%），单一市场与单一时段同时承压。</w:t>
      </w:r>
    </w:p>
    <w:p w14:paraId="253659F7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留存没有下滑，收缩的是获客：剔除观察窗不完整的两个末月批次后，2010 与 2011 年新客次月留存分别为 19.9% 与 </w:t>
      </w:r>
      <w:r>
        <w:rPr>
          <w:rFonts w:ascii="宋体" w:eastAsia="宋体" w:hAnsi="宋体" w:cs="宋体"/>
          <w:b/>
          <w:color w:val="A61B29"/>
          <w:sz w:val="24"/>
        </w:rPr>
        <w:t>23.6%</w:t>
      </w:r>
      <w:r>
        <w:rPr>
          <w:rFonts w:ascii="宋体" w:eastAsia="宋体" w:hAnsi="宋体" w:cs="宋体" w:hint="eastAsia"/>
          <w:color w:val="212121"/>
          <w:sz w:val="24"/>
        </w:rPr>
        <w:t>；但同月新增客户月均由 300 人降到 137 人，11 个月无一月同比转正。复购间隔中位数 25 天，可作为首单后触达的时点。</w:t>
      </w:r>
    </w:p>
    <w:p w14:paraId="31260FCE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客户结构呈强二八分布：Champions 1,191 人，占人数 20.3%、占营收 68.8%；购买次数在 10 次以内的客户占 85.2%。</w:t>
      </w:r>
    </w:p>
    <w:p w14:paraId="1C3918B8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商品结构同为长尾：A 类 1,003 个 SKU 贡献 80% 营收，另有 1,404 个滞销 SKU（占有效 SKU 30.4%，只贡献 7.2% 营收），其中 78.6% 落在 C 类。</w:t>
      </w:r>
    </w:p>
    <w:p w14:paraId="55761E3D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召回策略做了成本收益测算：全员发券 ROI 0.12，收窄到历史价值前 20% 客群后升至 0.62。方案是否成立取决于触达成本——定向方案只要把人均触达成本压到 </w:t>
      </w:r>
      <w:r>
        <w:rPr>
          <w:rFonts w:ascii="宋体" w:eastAsia="宋体" w:hAnsi="宋体" w:cs="宋体"/>
          <w:b/>
          <w:color w:val="A61B29"/>
          <w:sz w:val="24"/>
        </w:rPr>
        <w:t>£8.10</w:t>
      </w:r>
      <w:r>
        <w:rPr>
          <w:rFonts w:ascii="宋体" w:eastAsia="宋体" w:hAnsi="宋体" w:cs="宋体" w:hint="eastAsia"/>
          <w:color w:val="212121"/>
          <w:sz w:val="24"/>
        </w:rPr>
        <w:t xml:space="preserve"> 以下就能过线，全员方案要压到 £1.56，后者在人工渠道下没有实现路径。</w:t>
      </w:r>
    </w:p>
    <w:p w14:paraId="2F72EA5F" w14:textId="77777777" w:rsidR="00B0100B" w:rsidRDefault="00117112">
      <w:pPr>
        <w:pBdr>
          <w:top w:val="single" w:sz="18" w:space="0" w:color="1565C0"/>
          <w:bottom w:val="single" w:sz="6" w:space="0" w:color="D6DEE7"/>
        </w:pBdr>
        <w:spacing w:before="204" w:after="148" w:line="420" w:lineRule="auto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lastRenderedPageBreak/>
        <w:t>据此提出三项行动：把复购触达的时点卡在首单后 25—30 天，用存量把新客的第二次购买做出来；召回改为非价格触达且只投定向人群；分层清退 1,404 个滞销 SKU（C 类直接清，A 类的 69 个先查原因）。另有一项配套动作，是把取消监控从均值改为单笔阈值。</w:t>
      </w:r>
    </w:p>
    <w:p w14:paraId="6695FAAD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1" w:name="section-2"/>
      <w:r>
        <w:rPr>
          <w:rFonts w:ascii="微软雅黑" w:eastAsia="微软雅黑" w:hAnsi="微软雅黑" w:cs="微软雅黑" w:hint="eastAsia"/>
          <w:color w:val="1A237E"/>
          <w:sz w:val="31"/>
        </w:rPr>
        <w:t>一、分析背景与目标</w:t>
      </w:r>
      <w:bookmarkEnd w:id="1"/>
    </w:p>
    <w:p w14:paraId="22BEB995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本次分析对象是 UCI Machine Learning Repository 公开的 Online Retail II 数据集，记录一家英国注册的在线零售批发商在 2009 年 12 月至 2011 年 12 月间的全部交易流水。该商家主营礼品、家居装饰与节庆用品，客户以中小批发商与零售买手为主，因此订单金额分布远比一般 B2C 电商分散。</w:t>
      </w:r>
    </w:p>
    <w:p w14:paraId="09E250D7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拿到这份数据时它只是一张 106 万行的流水表。要让它能支撑经营判断，需要先解决三个前置问题，这也是本次分析的实际工作重心。</w:t>
      </w:r>
    </w:p>
    <w:p w14:paraId="4A43F510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口径统一。</w:t>
      </w:r>
      <w:r>
        <w:rPr>
          <w:rFonts w:ascii="宋体" w:eastAsia="宋体" w:hAnsi="宋体" w:cs="宋体" w:hint="eastAsia"/>
          <w:color w:val="212121"/>
          <w:sz w:val="24"/>
        </w:rPr>
        <w:t>原始数据里"有效订单""GMV""取消率"都有多种算法，不同算法之间差近 18%。如果不先定死口径，后面每一张图都会互相打架。</w:t>
      </w:r>
    </w:p>
    <w:p w14:paraId="2C1D400E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把流水变成指标。</w:t>
      </w:r>
      <w:r>
        <w:rPr>
          <w:rFonts w:ascii="宋体" w:eastAsia="宋体" w:hAnsi="宋体" w:cs="宋体" w:hint="eastAsia"/>
          <w:color w:val="212121"/>
          <w:sz w:val="24"/>
        </w:rPr>
        <w:t>按周、按月聚合成可对比的指标表，并标记出不完整的期间，避免把数据截断误读成业务下滑。</w:t>
      </w:r>
    </w:p>
    <w:p w14:paraId="792F195F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从描述走向解释。</w:t>
      </w:r>
      <w:r>
        <w:rPr>
          <w:rFonts w:ascii="宋体" w:eastAsia="宋体" w:hAnsi="宋体" w:cs="宋体" w:hint="eastAsia"/>
          <w:color w:val="212121"/>
          <w:sz w:val="24"/>
        </w:rPr>
        <w:t>仅仅给出"英国占 84%"没有决策价值，需要进一步回答：这个集中度是风险还是护城河？客户是留不住还是进不来？哪批客户值得投入？</w:t>
      </w:r>
    </w:p>
    <w:p w14:paraId="1EED4BDF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分析目标对应四个问题：经营规模与质量如何、收入从哪里来、客户为什么留不住、商品与客户结构里哪些是可动的。报告最后给出可执行的行动项及其成本收益依据。</w:t>
      </w:r>
    </w:p>
    <w:p w14:paraId="10847551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2" w:name="section-3"/>
      <w:r>
        <w:rPr>
          <w:rFonts w:ascii="微软雅黑" w:eastAsia="微软雅黑" w:hAnsi="微软雅黑" w:cs="微软雅黑" w:hint="eastAsia"/>
          <w:color w:val="1A237E"/>
          <w:sz w:val="31"/>
        </w:rPr>
        <w:lastRenderedPageBreak/>
        <w:t>二、数据与口径</w:t>
      </w:r>
      <w:bookmarkEnd w:id="2"/>
    </w:p>
    <w:p w14:paraId="44956CF5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这一节先把数据边界与计算规则交代清楚，后面所有数字都以本节定义为准。口径不一致是这类公开数据集最容易出问题的地方，先行固定能够避免后续结论自相矛盾。</w:t>
      </w:r>
    </w:p>
    <w:p w14:paraId="3381C640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3" w:name="section-3-1"/>
      <w:r>
        <w:rPr>
          <w:rFonts w:ascii="微软雅黑" w:eastAsia="微软雅黑" w:hAnsi="微软雅黑" w:cs="微软雅黑" w:hint="eastAsia"/>
          <w:color w:val="1565C0"/>
          <w:sz w:val="25"/>
        </w:rPr>
        <w:t>（一）数据范围</w:t>
      </w:r>
      <w:bookmarkEnd w:id="3"/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666D6A91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149F5786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项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FED741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数值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138B69FA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说明</w:t>
            </w:r>
          </w:p>
        </w:tc>
      </w:tr>
      <w:tr w:rsidR="00B0100B" w14:paraId="56ABDA0F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E9E393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原始记录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7057BB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1,067,371 行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86931E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2009-12-01 至 2011-12-09 两个年度工作表合并</w:t>
            </w:r>
          </w:p>
        </w:tc>
      </w:tr>
      <w:tr w:rsidR="00B0100B" w14:paraId="7D3481A1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9D9505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合并后去重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0EABEE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剔除 34,337 行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8AA02A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两表在 2010-12-01 至 12-09 重叠 9 天，1,088 张发票重复出现，按整行去重</w:t>
            </w:r>
          </w:p>
        </w:tc>
      </w:tr>
      <w:tr w:rsidR="00B0100B" w14:paraId="07A6461C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25DE9D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时间跨度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7E0836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25 个月 / 106 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B1D8C9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2010-12 止于 12-23、2011-12 止于 12-09，均为不完整月</w:t>
            </w:r>
          </w:p>
        </w:tc>
      </w:tr>
      <w:tr w:rsidR="00B0100B" w14:paraId="615F1BC3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0DC52D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有效订单（主口径）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F623A6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36,639 单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6673B6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仅含填写了客户 ID 的订单</w:t>
            </w:r>
          </w:p>
        </w:tc>
      </w:tr>
      <w:tr w:rsidR="00B0100B" w14:paraId="7668849B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8B8E1E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有效订单（全量口径）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7BF418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39,565 单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F40722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含未填写客户 ID 的订单</w:t>
            </w:r>
          </w:p>
        </w:tc>
      </w:tr>
      <w:tr w:rsidR="00B0100B" w14:paraId="617B3D61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2B415D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可识别客户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1B773F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5,861 位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5E8727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有客户 ID 的去重计数</w:t>
            </w:r>
          </w:p>
        </w:tc>
      </w:tr>
      <w:tr w:rsidR="00B0100B" w14:paraId="15D85E80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FEE946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有效 SKU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EBFBE9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4,624 个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CFF367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剔除运费、手工调整、银行冲销等非商品编码后</w:t>
            </w:r>
          </w:p>
        </w:tc>
      </w:tr>
      <w:tr w:rsidR="00B0100B" w14:paraId="52D421B6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8AE191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GMV（主口径）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A04360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£17,073,078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E98B13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仅含客户 ID，剔除非商品编码</w:t>
            </w:r>
          </w:p>
        </w:tc>
      </w:tr>
      <w:tr w:rsidR="00B0100B" w14:paraId="45A2FD6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F1E37E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GMV（全量口径）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554861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£20,120,621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6AA12E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含全部订单，同样剔除非商品编码</w:t>
            </w:r>
          </w:p>
        </w:tc>
      </w:tr>
      <w:tr w:rsidR="00B0100B" w14:paraId="47E354D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8DF628F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客单价（主口径）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CD4C624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£465.98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9C223C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GMV ÷ 有效订单</w:t>
            </w:r>
          </w:p>
        </w:tc>
      </w:tr>
    </w:tbl>
    <w:p w14:paraId="7739D9B9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两个口径的差值本身是一个发现：未填写客户 ID 的订单只有 2,926 单，占单量 7.4%，却对应 305 万英镑、占金额 15.1%，单均约 1,041 英镑，是识别客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户单均的两倍以上。这批订单通常来自未注册的柜台批发或临时采购，金额大但无法归因到人。这意味着以客户 ID 为口径的任何客户分析，都会系统性低估高价值客户的实际贡献，在制定客户策略时需要把这部分单独看待。</w:t>
      </w:r>
    </w:p>
    <w:p w14:paraId="01627B75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4" w:name="section-3-2"/>
      <w:r>
        <w:rPr>
          <w:rFonts w:ascii="微软雅黑" w:eastAsia="微软雅黑" w:hAnsi="微软雅黑" w:cs="微软雅黑" w:hint="eastAsia"/>
          <w:color w:val="1565C0"/>
          <w:sz w:val="25"/>
        </w:rPr>
        <w:t>（二）清洗规则</w:t>
      </w:r>
      <w:bookmarkEnd w:id="4"/>
    </w:p>
    <w:p w14:paraId="3A26E4B0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清洗没有做一刀切式的删除，主要处理了四类问题。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62D3CC5B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11FFBB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问题类型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308A79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处理方式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E1265A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处理理由</w:t>
            </w:r>
          </w:p>
        </w:tc>
      </w:tr>
      <w:tr w:rsidR="00B0100B" w14:paraId="741A5C38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2539A7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取消单（发票号以 C 开头、数量为负）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C59DE8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单独标记，不计入 GMV，单列统计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EBA173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取消是运营信号，不应与销售混算，也不应直接丢弃</w:t>
            </w:r>
          </w:p>
        </w:tc>
      </w:tr>
      <w:tr w:rsidR="00B0100B" w14:paraId="35892EDD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250C14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非商品编码（POST、DOT、M、BANK CHARGES、AMAZONFEE 等）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F12F6F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按编码精确剔除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59A24F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运费与手续费计入收入会虚增 GMV，且不参与商品结构分析</w:t>
            </w:r>
          </w:p>
        </w:tc>
      </w:tr>
      <w:tr w:rsidR="00B0100B" w14:paraId="4ACFC10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AD795F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描述含 damaged / thrown away / rusty / wet 等调整项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BA23CF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只标记不剔除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A08B33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关键词会误伤真商品，例如 PAIR PADDED HANGERS PINK CHECK、BROWN CHECK CAT DOORSTOP 中 CHECK 属商品名，按关键词一刀切会删掉正常商品</w:t>
            </w:r>
          </w:p>
        </w:tc>
      </w:tr>
      <w:tr w:rsidR="00B0100B" w14:paraId="7946AC29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F2C51E1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零价与负价行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24DEAA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单独标记，不参与营收与客单价计算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22FA7D8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多为赠品、样品与损坏赔偿</w:t>
            </w:r>
          </w:p>
        </w:tc>
      </w:tr>
    </w:tbl>
    <w:p w14:paraId="2747958E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取消与费用是两类不同性质的冲销，容易混为一谈，本次把它们拆开：商品类取消计入取消率分析，费用类冲销（AMAZONFEE、Manual、Discount 等，合计 £798,331）单列，不计入取消率。如果不拆，取消率会被高估约 3 个百分点。</w:t>
      </w:r>
    </w:p>
    <w:p w14:paraId="004133BE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lastRenderedPageBreak/>
        <w:t>把上述处理逐项量化，得到一张数据质量清单。这张表的作用是让接手的人不读代码也能复现出同一组数字。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B0100B" w14:paraId="2028B143" w14:textId="77777777">
        <w:trPr>
          <w:cantSplit/>
          <w:tblHeader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606ABA9E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问题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9861AE2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规模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8C25660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处理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2786788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对结果的影响</w:t>
            </w:r>
          </w:p>
        </w:tc>
      </w:tr>
      <w:tr w:rsidR="00B0100B" w14:paraId="0D9E8C94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4251D8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两表日期重叠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EEB654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23,221 行 / 1,088 张发票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798C0A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按 7 个业务字段整行去重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A230C5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不去重会把 2010-12 的 GMV 多计约 22.5 万</w:t>
            </w:r>
          </w:p>
        </w:tc>
      </w:tr>
      <w:tr w:rsidR="00B0100B" w14:paraId="64016394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683CB1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表内重复录入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9138D4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11,116 行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E1F6E5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同上，一并去重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6D8535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两项合计剔除 34,337 行，占原始 3.2%</w:t>
            </w:r>
          </w:p>
        </w:tc>
      </w:tr>
      <w:tr w:rsidR="00B0100B" w14:paraId="2CCF4FE7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456091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 ID 缺失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3A7BFE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243,007 行（22.77%）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578CC4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客户分析剔除，金额侧保留于全量口径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641290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占单量 7.4%、金额 15.1%，单均 1,041 英镑</w:t>
            </w:r>
          </w:p>
        </w:tc>
      </w:tr>
      <w:tr w:rsidR="00B0100B" w14:paraId="7F6480EA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839156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取消单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0F6EB0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19,494 行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BA2765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单独标记，不进 GMV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2A3579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取消金额 £721,176，占 GMV 4.22%</w:t>
            </w:r>
          </w:p>
        </w:tc>
      </w:tr>
      <w:tr w:rsidR="00B0100B" w14:paraId="021CC0DB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DB2866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负数量 / 零负价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4DBA8F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22,950 行 / 6,207 行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9EEBDE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只保留数量与价格均为正的明细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6F78E5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不参与营收、客户数与留存计算</w:t>
            </w:r>
          </w:p>
        </w:tc>
      </w:tr>
      <w:tr w:rsidR="00B0100B" w14:paraId="7B8429D0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41F40D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非商品编码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E07432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13 个编码 / 5,739 行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7A9531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按编码精确剔除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5E489B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剔后 GMV 减少 30.2 万，见本节第四小节</w:t>
            </w:r>
          </w:p>
        </w:tc>
      </w:tr>
      <w:tr w:rsidR="00B0100B" w14:paraId="5087570B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84505D4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极端值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AFD53D5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单行最大 80,995 件、最高单价 £38,970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385E699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保留并标注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2EC5BB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多为手工调整行，不进商品结构分析</w:t>
            </w:r>
          </w:p>
        </w:tc>
      </w:tr>
    </w:tbl>
    <w:p w14:paraId="7323197C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逐层筛下来，最终进入分析的明细是 776,622 行，对应 36,639 单、5,861 位客户、GMV £17,073,078。这张表的每一行都可以在脚本里找到对应的判断条件，换成另一个人跑，结果应当一致。</w:t>
      </w:r>
    </w:p>
    <w:p w14:paraId="249597BE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5" w:name="section-3-3"/>
      <w:r>
        <w:rPr>
          <w:rFonts w:ascii="微软雅黑" w:eastAsia="微软雅黑" w:hAnsi="微软雅黑" w:cs="微软雅黑" w:hint="eastAsia"/>
          <w:color w:val="1565C0"/>
          <w:sz w:val="25"/>
        </w:rPr>
        <w:t>（三）指标字典</w:t>
      </w:r>
      <w:bookmarkEnd w:id="5"/>
    </w:p>
    <w:p w14:paraId="19EB2ADE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分析前统一了 19 项指标的口径，形成指标字典，覆盖指标名称、计算逻辑、统计范围、更新频率与来源表。这一步的作用在后续所有环节都体现出来——同一个问题换一个人算，结果应该是一致的。举三个最容易算错的口径。</w:t>
      </w:r>
    </w:p>
    <w:p w14:paraId="6DD84E21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lastRenderedPageBreak/>
        <w:t>GMV。</w:t>
      </w:r>
      <w:r>
        <w:rPr>
          <w:rFonts w:ascii="宋体" w:eastAsia="宋体" w:hAnsi="宋体" w:cs="宋体" w:hint="eastAsia"/>
          <w:color w:val="212121"/>
          <w:sz w:val="24"/>
        </w:rPr>
        <w:t>只含商品类正向交易，剔除取消、费用、零价行。统计范围为筛选后的明细，不按发票汇总后回加。</w:t>
      </w:r>
    </w:p>
    <w:p w14:paraId="1E3A2CC5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活跃客户。</w:t>
      </w:r>
      <w:r>
        <w:rPr>
          <w:rFonts w:ascii="宋体" w:eastAsia="宋体" w:hAnsi="宋体" w:cs="宋体" w:hint="eastAsia"/>
          <w:color w:val="212121"/>
          <w:sz w:val="24"/>
        </w:rPr>
        <w:t>统计期内有至少一笔正向交易的客户，用客户 ID 去重，不含仅有取消记录的客户。</w:t>
      </w:r>
    </w:p>
    <w:p w14:paraId="38D440E2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新客占比。</w:t>
      </w:r>
      <w:r>
        <w:rPr>
          <w:rFonts w:ascii="宋体" w:eastAsia="宋体" w:hAnsi="宋体" w:cs="宋体" w:hint="eastAsia"/>
          <w:color w:val="212121"/>
          <w:sz w:val="24"/>
        </w:rPr>
        <w:t>当月首次购买的客户数 ÷ 当月活跃客户数。首月（2009-12）该指标置空——第一个月所有人都是新客，占比必然是 100%，那是定义起点而不是业务结论。</w:t>
      </w:r>
    </w:p>
    <w:p w14:paraId="41C9E43C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6" w:name="section-3-4"/>
      <w:r>
        <w:rPr>
          <w:rFonts w:ascii="微软雅黑" w:eastAsia="微软雅黑" w:hAnsi="微软雅黑" w:cs="微软雅黑" w:hint="eastAsia"/>
          <w:color w:val="1565C0"/>
          <w:sz w:val="25"/>
        </w:rPr>
        <w:t>（四）一处需要交代的口径瑕疵</w:t>
      </w:r>
      <w:bookmarkEnd w:id="6"/>
    </w:p>
    <w:p w14:paraId="7945AC3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在 Tableau 交付的六页仪表盘中，KPI 卡与趋势图使用了两个不同的数据源：KPI 卡取自 monthly_metrics（仅含客户 ID，合计 1,707 万），月度趋势与国别排名取自未加客户 ID 筛选的订单表（合计 2,012 万，与数据范围表全量口径一致）。同一屏上出现两个 GMV 是明显的问题。已在订单表上追加 customer_id 非空筛选，趋势图立即回到 1,737 万量级。与 KPI 之间剩下的 30.2 万差额可以逐项对上，全部是六类非商品编码：手工调整（M）15.2 万、邮费（POST）12.5 万、运费（C2）1.3 万、DOT 1.2 万、银行手续费 450 英镑、折扣（D）398 英镑。也就是说趋势图当时只做了客户 ID 筛选、没有剔编码，两张图差的是运费与手续费的入账方式。后续在订单表上补齐编码剔除，并删除了与月度趋势重复的一张图。</w:t>
      </w:r>
    </w:p>
    <w:p w14:paraId="00ED5CD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这件事写进报告而不是藏起来，是因为它说明了一个更普遍的问题：口径不是在分析开始时定一次就够的，交付前还需要对着成品再核一遍。</w:t>
      </w:r>
    </w:p>
    <w:p w14:paraId="2D0FF622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7" w:name="section-4"/>
      <w:r>
        <w:rPr>
          <w:rFonts w:ascii="微软雅黑" w:eastAsia="微软雅黑" w:hAnsi="微软雅黑" w:cs="微软雅黑" w:hint="eastAsia"/>
          <w:color w:val="1A237E"/>
          <w:sz w:val="31"/>
        </w:rPr>
        <w:t>三、整体经营状况</w:t>
      </w:r>
      <w:bookmarkEnd w:id="7"/>
    </w:p>
    <w:p w14:paraId="58622F26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先看规模与质量这两个基本盘，再看取消这一项容易被单指标误读的运营数据。</w:t>
      </w:r>
    </w:p>
    <w:p w14:paraId="49B79E02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8" w:name="section-4-1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（一）规模与结构</w:t>
      </w:r>
      <w:bookmarkEnd w:id="8"/>
    </w:p>
    <w:p w14:paraId="243582C1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两年 GMV 1,707 万英镑，有效订单 36,639 单，客单价 465.98 英镑。按月看，剔除末期那个只有 9 天的不完整月后，24 个月均值 69.0 万英镑。月度差异由季节驱动而非趋势：两年的高点都落在 11 月（2010-11 为 115.6 万、2011-11 为 113.6 万），比月均高约 67%，低点是 2011-02 的 44.2 万。年度总量上，2010 年 822.3 万、2011 年 817.1 万，同比 -0.6%——</w:t>
      </w:r>
      <w:r>
        <w:rPr>
          <w:rFonts w:ascii="宋体" w:eastAsia="宋体" w:hAnsi="宋体" w:cs="宋体" w:hint="eastAsia"/>
          <w:b/>
          <w:color w:val="212121"/>
          <w:sz w:val="24"/>
        </w:rPr>
        <w:t>这是一门规模稳定、但没有自然增长的生意</w:t>
      </w:r>
      <w:r>
        <w:rPr>
          <w:rFonts w:ascii="宋体" w:eastAsia="宋体" w:hAnsi="宋体" w:cs="宋体" w:hint="eastAsia"/>
          <w:color w:val="212121"/>
          <w:sz w:val="24"/>
        </w:rPr>
        <w:t>。</w:t>
      </w:r>
    </w:p>
    <w:p w14:paraId="33E5D94A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drawing>
          <wp:inline distT="0" distB="0" distL="0" distR="0" wp14:anchorId="7504E19D" wp14:editId="57503E18">
            <wp:extent cx="5274000" cy="270600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0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C80C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1　月度 GMV（2009-12 至 2011-12）。红色柱为不完整月，不计入 24 个月均值。</w:t>
      </w:r>
    </w:p>
    <w:p w14:paraId="588037DE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客单价 466 英镑的水平明显高于一般消费品电商，与客户结构一致：这本质上是一门面向小 B 的批发生意，单个客户单次采购量大、频次低。</w:t>
      </w:r>
    </w:p>
    <w:p w14:paraId="49EC32BD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9" w:name="section-4-2"/>
      <w:r>
        <w:rPr>
          <w:rFonts w:ascii="微软雅黑" w:eastAsia="微软雅黑" w:hAnsi="微软雅黑" w:cs="微软雅黑" w:hint="eastAsia"/>
          <w:color w:val="1565C0"/>
          <w:sz w:val="25"/>
        </w:rPr>
        <w:t>（二）取消情况：率与金额不是一回事</w:t>
      </w:r>
      <w:bookmarkEnd w:id="9"/>
    </w:p>
    <w:p w14:paraId="05635681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取消率（单量口径，仅含客户 ID）16.64%，这个数字单独看偏高。但取消金额只占 GMV 的 4.22%，两个数字相差近四倍，原因是</w:t>
      </w:r>
      <w:r>
        <w:rPr>
          <w:rFonts w:ascii="宋体" w:eastAsia="宋体" w:hAnsi="宋体" w:cs="宋体" w:hint="eastAsia"/>
          <w:b/>
          <w:color w:val="212121"/>
          <w:sz w:val="24"/>
        </w:rPr>
        <w:t>取消集中在低金额订单上</w:t>
      </w:r>
      <w:r>
        <w:rPr>
          <w:rFonts w:ascii="宋体" w:eastAsia="宋体" w:hAnsi="宋体" w:cs="宋体" w:hint="eastAsia"/>
          <w:color w:val="212121"/>
          <w:sz w:val="24"/>
        </w:rPr>
        <w:t>—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—大额采购的客户下单更谨慎，中小额补货的客户更容易改单。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0E3B6D34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EFA3E2C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指标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12FF75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数值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5831EC1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口径</w:t>
            </w:r>
          </w:p>
        </w:tc>
      </w:tr>
      <w:tr w:rsidR="00B0100B" w14:paraId="35002AED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8D9098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取消单数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94E7AB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7,315 张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2C7C5E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商品类取消，已剔除非商品编码</w:t>
            </w:r>
          </w:p>
        </w:tc>
      </w:tr>
      <w:tr w:rsidR="00B0100B" w14:paraId="60A12357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27B912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取消率（单量）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97D455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16.64%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5D9D3D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7,315 ÷（有效订单 36,639 + 取消单 7,315），仅含客户 ID</w:t>
            </w:r>
          </w:p>
        </w:tc>
      </w:tr>
      <w:tr w:rsidR="00B0100B" w14:paraId="395F4A3E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0D5B5F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取消率（金额）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1B1C9A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4.22%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C90C84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取消金额 £721,176 ÷ GMV £17,073,078</w:t>
            </w:r>
          </w:p>
        </w:tc>
      </w:tr>
      <w:tr w:rsidR="00B0100B" w14:paraId="0C97ED8A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7B0043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单笔最大取消占取消总额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69D933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23.4%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625361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单笔 £168,470，为单品 23843 PAPER CRAFT, LITTLE BIRDIE</w:t>
            </w:r>
          </w:p>
        </w:tc>
      </w:tr>
      <w:tr w:rsidR="00B0100B" w14:paraId="335D1F78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B80860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Top2 累计占比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CA170B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34.1%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86CDCB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按单张取消单金额降序累计</w:t>
            </w:r>
          </w:p>
        </w:tc>
      </w:tr>
      <w:tr w:rsidR="00B0100B" w14:paraId="3C9F0C84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68D0C26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Top10 累计占比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C17C135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44.4%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65BD8F4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按单张取消单金额降序累计</w:t>
            </w:r>
          </w:p>
        </w:tc>
      </w:tr>
    </w:tbl>
    <w:p w14:paraId="3CAFF1CE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取消金额的集中度值得单列：最大的一笔取消占全部取消金额的 23.4%，前 10 张单合计 44.4%——7,315 张取消单里，10 张占掉四成四。2011-12 只有 9 天数据，这 9 天里取消金额就有 17.4 万英镑，其中 97% 来自同一笔订单。因此取消金额不适合看月度均值，应按单笔大额设监控；而取消率（单量）反映的是改单与体验问题，两者需要用不同指标跟踪，不能用其中一个替代另一个。</w:t>
      </w:r>
    </w:p>
    <w:p w14:paraId="44DC3B1C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lastRenderedPageBreak/>
        <w:drawing>
          <wp:inline distT="0" distB="0" distL="0" distR="0" wp14:anchorId="3C6AF483" wp14:editId="6E331E9A">
            <wp:extent cx="5274000" cy="256767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6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81C1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2　取消金额按单张取消单的累计集中度。横轴为降序排名，200 张单即覆盖约 70%。</w:t>
      </w:r>
    </w:p>
    <w:p w14:paraId="2682A820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按年度看，取消率 2009 年 19.85%（仅 12 月一个月，样本短，仅作起点参考）→ 2010 年 17.65% → 2011 年 15.77%，改善趋势明确，属于可以继续压降的运营指标。</w:t>
      </w:r>
    </w:p>
    <w:p w14:paraId="7D789363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10" w:name="section-5"/>
      <w:r>
        <w:rPr>
          <w:rFonts w:ascii="微软雅黑" w:eastAsia="微软雅黑" w:hAnsi="微软雅黑" w:cs="微软雅黑" w:hint="eastAsia"/>
          <w:color w:val="1A237E"/>
          <w:sz w:val="31"/>
        </w:rPr>
        <w:t>四、收入来自哪里：地域与时间</w:t>
      </w:r>
      <w:bookmarkEnd w:id="10"/>
    </w:p>
    <w:p w14:paraId="15BB2CE9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收入分布决定了运营复杂度与风险敞口。这一节看两个维度：卖到哪里，以及什么时候卖。</w:t>
      </w:r>
    </w:p>
    <w:p w14:paraId="48B6A882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1" w:name="section-5-1"/>
      <w:r>
        <w:rPr>
          <w:rFonts w:ascii="微软雅黑" w:eastAsia="微软雅黑" w:hAnsi="微软雅黑" w:cs="微软雅黑" w:hint="eastAsia"/>
          <w:color w:val="1565C0"/>
          <w:sz w:val="25"/>
        </w:rPr>
        <w:t>（一）市场集中度</w:t>
      </w:r>
      <w:bookmarkEnd w:id="11"/>
    </w:p>
    <w:p w14:paraId="226B501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英国本土贡献 84% 的营收，其余市场分散在爱尔兰、德国、法国、荷兰等十余个国家，单一国家占比均低于 5%。</w:t>
      </w:r>
    </w:p>
    <w:p w14:paraId="09ECDD3A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集中度在这门生意里是双面的。有利的一面是履约与客服成本极低，运营复杂度接近单市场；不利的一面是</w:t>
      </w:r>
      <w:r>
        <w:rPr>
          <w:rFonts w:ascii="宋体" w:eastAsia="宋体" w:hAnsi="宋体" w:cs="宋体" w:hint="eastAsia"/>
          <w:b/>
          <w:color w:val="212121"/>
          <w:sz w:val="24"/>
        </w:rPr>
        <w:t>收入没有分散机制</w:t>
      </w:r>
      <w:r>
        <w:rPr>
          <w:rFonts w:ascii="宋体" w:eastAsia="宋体" w:hAnsi="宋体" w:cs="宋体" w:hint="eastAsia"/>
          <w:color w:val="212121"/>
          <w:sz w:val="24"/>
        </w:rPr>
        <w:t>——本土需求或汇率任一环节波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动，都会等比例传导到整体。数据里没有成本项，无法判断海外订单是否因物流成本而不经济，但从营收占比看，海外市场目前只起到补充作用，不具备对冲能力。</w:t>
      </w:r>
    </w:p>
    <w:p w14:paraId="5EEF9D23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2" w:name="section-5-2"/>
      <w:r>
        <w:rPr>
          <w:rFonts w:ascii="微软雅黑" w:eastAsia="微软雅黑" w:hAnsi="微软雅黑" w:cs="微软雅黑" w:hint="eastAsia"/>
          <w:color w:val="1565C0"/>
          <w:sz w:val="25"/>
        </w:rPr>
        <w:t>（二）季节性与周内节奏</w:t>
      </w:r>
      <w:bookmarkEnd w:id="12"/>
    </w:p>
    <w:p w14:paraId="296C21D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10 月与 11 月两个月合计占总营收的 25.2%，12 月上旬仍维持高位（数据在 12-09 截断，无法观察圣诞后回落）。商品以礼品与装饰品为主，这个节奏与节庆采购周期吻合，属于结构性季节波动而非异常。</w:t>
      </w:r>
    </w:p>
    <w:p w14:paraId="345B95BE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周内看，周末订单量明显低于工作日，低谷集中在周六。这不是需求消失而是下单习惯——批发客户在工作日处理补货。若要做触达，工作日发送的响应率预期高于周末。</w:t>
      </w:r>
    </w:p>
    <w:p w14:paraId="388C62EE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需要提醒一个读图陷阱：2011-12 的环比为 -55%，客单价却升到 660 英镑。这不是需求萎缩：该月只有 9 天数据，9 天做出 51.2 万，日均水平与 11 月相当；客单价升高是因为截断切掉了 12 月下旬的小额零售单，剩下的是大额批发单。</w:t>
      </w:r>
      <w:r>
        <w:rPr>
          <w:rFonts w:ascii="宋体" w:eastAsia="宋体" w:hAnsi="宋体" w:cs="宋体" w:hint="eastAsia"/>
          <w:b/>
          <w:color w:val="212121"/>
          <w:sz w:val="24"/>
        </w:rPr>
        <w:t>两个信号都指向数据截止，不指向业务下滑。</w:t>
      </w:r>
      <w:r>
        <w:rPr>
          <w:rFonts w:ascii="宋体" w:eastAsia="宋体" w:hAnsi="宋体" w:cs="宋体" w:hint="eastAsia"/>
          <w:color w:val="212121"/>
          <w:sz w:val="24"/>
        </w:rPr>
        <w:t>指标表已对该月标记为不完整月，任何跨月比较都应先排除该期。</w:t>
      </w:r>
    </w:p>
    <w:p w14:paraId="7CBC142E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13" w:name="section-6"/>
      <w:r>
        <w:rPr>
          <w:rFonts w:ascii="微软雅黑" w:eastAsia="微软雅黑" w:hAnsi="微软雅黑" w:cs="微软雅黑" w:hint="eastAsia"/>
          <w:color w:val="1A237E"/>
          <w:sz w:val="31"/>
        </w:rPr>
        <w:t>五、客户留存与获客节奏</w:t>
      </w:r>
      <w:bookmarkEnd w:id="13"/>
    </w:p>
    <w:p w14:paraId="565F331A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留存与获客是两件事：留下的是已经来过的人，进来的是新的人。在这份数据里两者走向不同，混在一起看会得出错误结论，所以分开算。</w:t>
      </w:r>
    </w:p>
    <w:p w14:paraId="1D38592B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4" w:name="section-6-1"/>
      <w:r>
        <w:rPr>
          <w:rFonts w:ascii="微软雅黑" w:eastAsia="微软雅黑" w:hAnsi="微软雅黑" w:cs="微软雅黑" w:hint="eastAsia"/>
          <w:color w:val="1565C0"/>
          <w:sz w:val="25"/>
        </w:rPr>
        <w:t>（一）24 个同期群的完整序列</w:t>
      </w:r>
      <w:bookmarkEnd w:id="14"/>
    </w:p>
    <w:p w14:paraId="15C18F9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把客户按首次购买月份分成 24 个同期群，观察每批人在次月的留存比例。只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看首末两批会得到一条陡峭的衰减线，但把 24 批全部画出来，形态并不是单调下滑。</w:t>
      </w:r>
    </w:p>
    <w:p w14:paraId="3DAEDDA3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drawing>
          <wp:inline distT="0" distB="0" distL="0" distR="0" wp14:anchorId="3A29F20E" wp14:editId="7637E384">
            <wp:extent cx="5274000" cy="298471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8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961F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3　24 个同期群的次月留存率。气泡大小为队列人数，须线为 95% 置信区间（二项分布正态近似）。</w:t>
      </w:r>
    </w:p>
    <w:p w14:paraId="6B811048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除 2009-12 与 2010-12 两批外，其余 22 批落在 15%—32% 之间：2010 年各批在 15.7%—25.9% 之间波动，2011 年各批在 16.0%—31.7% 之间，2011-10 批次达到 31.7%，已经接近首月批次的 35.3%。曲线两端各有一个点需要单独解释，它们恰好是全期最高与最低，也是最容易被误读的两个。</w:t>
      </w:r>
    </w:p>
    <w:p w14:paraId="515A7F15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5" w:name="section-6-2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（二）首末两批为什么不能直接相减</w:t>
      </w:r>
      <w:bookmarkEnd w:id="15"/>
    </w:p>
    <w:p w14:paraId="17CA3C3F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两个批次的月份相同（都是 12 月），季节性可以排除，账面差异是 26.1 个百分点。但两个批次的队列规模相差 12.5 倍：一端是完整的首月，一端是残缺月。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B0100B" w14:paraId="26CC1B19" w14:textId="77777777">
        <w:trPr>
          <w:cantSplit/>
          <w:tblHeader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475FAC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首购批次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D227F7A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队列人数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F816DB2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次月留存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135A219B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95% 置信区间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3C7E5EB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批次特征</w:t>
            </w:r>
          </w:p>
        </w:tc>
      </w:tr>
      <w:tr w:rsidR="00B0100B" w14:paraId="649BDF18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F3866C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2009-12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1CC7C5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952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CCB2CE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35.3%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985D00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32.3 – 38.3%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D8AE5B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数据首月，完整 31 天</w:t>
            </w:r>
          </w:p>
        </w:tc>
      </w:tr>
      <w:tr w:rsidR="00B0100B" w14:paraId="08D1E541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ACA8358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2010-12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61DA8D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76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AE28908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9.2%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FAFE4B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2.7 – 15.7%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9E59D5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圣诞停业，批次仅 76 人；次月观察窗完整</w:t>
            </w:r>
          </w:p>
        </w:tc>
      </w:tr>
    </w:tbl>
    <w:p w14:paraId="7754AF80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2010-12 的 9.2% 只对应 7 个人。置信区间宽达 13 个百分点，1 个人的增减就能让这个数摆动 1.3 个百分点。这批人少有两个原因：该月数据只到 12-23，缺了圣诞前最后一周；12 月的客户又多为回头客补货，真正的新客本就少。</w:t>
      </w:r>
    </w:p>
    <w:p w14:paraId="06DDA6E2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另一端的 2009-12 也不是干净的新客批次。它是数据首月且完整覆盖 31 天，952 人里有 89 人（9.3%）的首单日期就是 12-01，即数据第一天——这些是商家在数据开始之前就已积累的客户，只是恰好在这一天产生了记录。</w:t>
      </w:r>
    </w:p>
    <w:p w14:paraId="0057D671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为了确认差异不是客户构成变化造成的，按首单金额分四档（≤£100、£100—300、£300—1000、&gt;£1000）做直接标准化，用两批合并后的档位结构作标准权重：原始差异 -26.08 个百分点，标准化后 -23.87 个百分点，</w:t>
      </w:r>
      <w:r>
        <w:rPr>
          <w:rFonts w:ascii="宋体" w:eastAsia="宋体" w:hAnsi="宋体" w:cs="宋体" w:hint="eastAsia"/>
          <w:b/>
          <w:color w:val="212121"/>
          <w:sz w:val="24"/>
        </w:rPr>
        <w:t>构成效应只有 -2.21 个百分点</w:t>
      </w:r>
      <w:r>
        <w:rPr>
          <w:rFonts w:ascii="宋体" w:eastAsia="宋体" w:hAnsi="宋体" w:cs="宋体" w:hint="eastAsia"/>
          <w:color w:val="212121"/>
          <w:sz w:val="24"/>
        </w:rPr>
        <w:t>。客户变穷或变小不是原因，缺口几乎全部来自两个基数的不可比。</w:t>
      </w:r>
    </w:p>
    <w:p w14:paraId="44CA5237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6" w:name="section-6-3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（三）分年加权：2011 年不弱于 2010 年</w:t>
      </w:r>
      <w:bookmarkEnd w:id="16"/>
    </w:p>
    <w:p w14:paraId="20C0E56B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把 24 批按年合并，用队列人数加权，一年一个数，样本量足够做检验。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B0100B" w14:paraId="20D6CB14" w14:textId="77777777">
        <w:trPr>
          <w:cantSplit/>
          <w:tblHeader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32E0F24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年份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907A6AE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批次数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5922970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队列人数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34CB1CA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加权次月留存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04D4EDA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95% 置信区间</w:t>
            </w:r>
          </w:p>
        </w:tc>
      </w:tr>
      <w:tr w:rsidR="00B0100B" w14:paraId="581D67B4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B398C7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2010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9CF898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12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9DBCC1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3,373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0319C9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19.9%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A505D7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18.6 – 21.2%</w:t>
            </w:r>
          </w:p>
        </w:tc>
      </w:tr>
      <w:tr w:rsidR="00B0100B" w14:paraId="20A99109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B20524F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2011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2028C7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10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6D2D30B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1,317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0F740D5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23.6%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87F2489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21.3 – 25.9%</w:t>
            </w:r>
          </w:p>
        </w:tc>
      </w:tr>
    </w:tbl>
    <w:p w14:paraId="242DC403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两比例差异检验：2010 年 12 批合计 3,373 人、加权 19.9%，2011 年 10 批（剔除观察窗不足的 2011-11、2011-12）合计 1,317 人、加权 23.6%，差 3.72 个百分点，z = 2.81，在 5% 水平上显著。方向上，2011 年的新客次月留存比 2010 年高，不是低。</w:t>
      </w:r>
    </w:p>
    <w:p w14:paraId="0AC57458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剔除规则只有一条：看次月观察窗是否完整，不看结果好不好看。2011-11 批次的次月是 2011-12，而该月数据止于 12-09，观察窗只有 9 天，这一批 14.1% 的留存被系统性低估；2011-12 批次则根本没有次月。这两批必须剔。2010-12 批次只有 76 人、置信区间宽达 13 个百分点，但它的次月是完整的 2011-01，所以留在样本里。作为敏感性分析，把它也一起剔掉：2010 年变为 20.1%（N=3,297），差距 3.47 个百分点、z = 2.61，方向和结论都不变，只是幅度小一点。</w:t>
      </w:r>
    </w:p>
    <w:p w14:paraId="540D11DC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把这两个端点相减，得到的不是衰减幅度。</w:t>
      </w:r>
      <w:r>
        <w:rPr>
          <w:rFonts w:ascii="宋体" w:eastAsia="宋体" w:hAnsi="宋体" w:cs="宋体" w:hint="eastAsia"/>
          <w:color w:val="212121"/>
          <w:sz w:val="24"/>
        </w:rPr>
        <w:t>一端是含历史存量客户的完整首月，一端是只有 7 个人留存、置信区间宽 13 个百分点的残缺月，差出来的 26.1 个百分点里绝大部分是两个基数的不可比，不是客户行为的变化。</w:t>
      </w:r>
    </w:p>
    <w:p w14:paraId="1473001D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7" w:name="section-6-4"/>
      <w:r>
        <w:rPr>
          <w:rFonts w:ascii="微软雅黑" w:eastAsia="微软雅黑" w:hAnsi="微软雅黑" w:cs="微软雅黑" w:hint="eastAsia"/>
          <w:color w:val="1565C0"/>
          <w:sz w:val="25"/>
        </w:rPr>
        <w:t>（四）真正的变化在获客</w:t>
      </w:r>
      <w:bookmarkEnd w:id="17"/>
    </w:p>
    <w:p w14:paraId="1AD80E30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留存稳住了，但进来的人在变少。按月看首次购买的客户数，2011 年 11 个月里没有一个月高于上年同月。</w:t>
      </w:r>
    </w:p>
    <w:p w14:paraId="6DA4FD02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lastRenderedPageBreak/>
        <w:drawing>
          <wp:inline distT="0" distB="0" distL="0" distR="0" wp14:anchorId="59203663" wp14:editId="43D3627C">
            <wp:extent cx="5274000" cy="249834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310E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4　同月新增客户数（2010 与 2011 年 1—11 月）。12 月因两表截断程度不同，未纳入对比。</w:t>
      </w:r>
    </w:p>
    <w:p w14:paraId="0FE5E5B1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2010 年 1—11 月新增 3,297 位客户，月均 300 人；2011 年同期 1,508 人，月均 137 人，降幅 54.3%。降幅本身在收窄：1 月同比 -81.2%，4—6 月维持在 -56% 至 -64%，9—11 月收窄到 -21% 至 -41%。</w:t>
      </w:r>
      <w:r>
        <w:rPr>
          <w:rFonts w:ascii="宋体" w:eastAsia="宋体" w:hAnsi="宋体" w:cs="宋体" w:hint="eastAsia"/>
          <w:b/>
          <w:color w:val="212121"/>
          <w:sz w:val="24"/>
        </w:rPr>
        <w:t>这是持续两年的收缩，但下半年已经出现修复迹象，不是单向崩塌。</w:t>
      </w:r>
    </w:p>
    <w:p w14:paraId="01A977A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把两件事放在一起，结论比单看任何一个都清楚：客户一旦进来，留下的概率两年没有变化（20%—24%），掉的是进来的量。运营重心因此不在"提升留存率"——这个指标没有可改善的空间证据——而在两处：一是止住获客的收缩，二是把已经进来的人尽快推到第二次购买，让每个新客的价值更早兑现。</w:t>
      </w:r>
    </w:p>
    <w:p w14:paraId="5D608FB8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8" w:name="section-6-5"/>
      <w:r>
        <w:rPr>
          <w:rFonts w:ascii="微软雅黑" w:eastAsia="微软雅黑" w:hAnsi="微软雅黑" w:cs="微软雅黑" w:hint="eastAsia"/>
          <w:color w:val="1565C0"/>
          <w:sz w:val="25"/>
        </w:rPr>
        <w:t>（五）复购间隔与干预窗口</w:t>
      </w:r>
      <w:bookmarkEnd w:id="18"/>
    </w:p>
    <w:p w14:paraId="5C767350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复购间隔（同一客户相邻两单的天数）中位数 25 天。也就是说，一半的复购发生在 25 天内，另一半在 25 天之后。</w:t>
      </w:r>
      <w:r>
        <w:rPr>
          <w:rFonts w:ascii="宋体" w:eastAsia="宋体" w:hAnsi="宋体" w:cs="宋体" w:hint="eastAsia"/>
          <w:b/>
          <w:color w:val="212121"/>
          <w:sz w:val="24"/>
        </w:rPr>
        <w:t>第 25 天因此是一个有依据的触达时点</w:t>
      </w:r>
      <w:r>
        <w:rPr>
          <w:rFonts w:ascii="宋体" w:eastAsia="宋体" w:hAnsi="宋体" w:cs="宋体" w:hint="eastAsia"/>
          <w:color w:val="212121"/>
          <w:sz w:val="24"/>
        </w:rPr>
        <w:t>：到这一天还没有第二单的客户，已经落在复购节奏的后半段。这个位置不是"流失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拐点"——数据不支持拐点的存在——但它是一个自然的划分点，用它可以把触达集中在多数尚未复购的人身上，同时不至于太早打扰。</w:t>
      </w:r>
    </w:p>
    <w:p w14:paraId="4732B7D4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复购率（下过两单及以上的客户 ÷ 有客户 ID 的客户）为 72.27%。这个数字容易被误读为七成客户会复购，但配合购买次数分布看会更清楚。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B0100B" w14:paraId="34102F58" w14:textId="77777777">
        <w:trPr>
          <w:cantSplit/>
          <w:tblHeader/>
        </w:trPr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FC30BD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购买次数分档</w:t>
            </w:r>
          </w:p>
        </w:tc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8AA306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客户占比</w:t>
            </w:r>
          </w:p>
        </w:tc>
      </w:tr>
      <w:tr w:rsidR="00B0100B" w14:paraId="28B1937E" w14:textId="77777777">
        <w:trPr>
          <w:cantSplit/>
        </w:trPr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BF51EE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10 次及以下</w:t>
            </w:r>
          </w:p>
        </w:tc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5AF7F4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85.2%</w:t>
            </w:r>
          </w:p>
        </w:tc>
      </w:tr>
      <w:tr w:rsidR="00B0100B" w14:paraId="65E9966D" w14:textId="77777777">
        <w:trPr>
          <w:cantSplit/>
        </w:trPr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F740910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10 次以上</w:t>
            </w:r>
          </w:p>
        </w:tc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18C7ECE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14.8%</w:t>
            </w:r>
          </w:p>
        </w:tc>
      </w:tr>
    </w:tbl>
    <w:p w14:paraId="4D3CBB86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两个数字不矛盾，它们回答的是不同问题：72.27% 回答有没有第二次，85.2% 回答买了几次。真实含义是——大多数客户会有第二单，但购买 10 次以上的只占 14.8%，高频复购是小众。复购率作为健康度指标在这个数据集里偏乐观，需要与次数分布一起看。</w:t>
      </w:r>
    </w:p>
    <w:p w14:paraId="2DF2DB0C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19" w:name="section-7"/>
      <w:r>
        <w:rPr>
          <w:rFonts w:ascii="微软雅黑" w:eastAsia="微软雅黑" w:hAnsi="微软雅黑" w:cs="微软雅黑" w:hint="eastAsia"/>
          <w:color w:val="1A237E"/>
          <w:sz w:val="31"/>
        </w:rPr>
        <w:t>六、客户结构与价值分布</w:t>
      </w:r>
      <w:bookmarkEnd w:id="19"/>
    </w:p>
    <w:p w14:paraId="58CA2D41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留存讲的是客户来过之后有没有留下，这一节讲留下的是谁、贡献多少、哪些已经处在流失边缘。</w:t>
      </w:r>
    </w:p>
    <w:p w14:paraId="5F3704E8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0" w:name="section-7-1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（一）RFM 分层</w:t>
      </w:r>
      <w:bookmarkEnd w:id="20"/>
    </w:p>
    <w:p w14:paraId="5CC42081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RFM 采用业务分箱而非等频五分位，因为等频切分会把买了 1 次和买了 5 次强行分开，而这两类在业务上应归为同一档。分层结果如下。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B0100B" w14:paraId="273A17A2" w14:textId="77777777">
        <w:trPr>
          <w:cantSplit/>
          <w:tblHeader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6B1FE81A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分层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218153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客户数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0F2F53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人数占比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3B5F9B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营收占比</w:t>
            </w:r>
          </w:p>
        </w:tc>
      </w:tr>
      <w:tr w:rsidR="00B0100B" w14:paraId="066A3FCF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AA96B3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Champions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082A36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1,191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EC4580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20.3%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D72C13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68.8%</w:t>
            </w:r>
          </w:p>
        </w:tc>
      </w:tr>
      <w:tr w:rsidR="00B0100B" w14:paraId="77ED332C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51E94D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At Risk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141794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约 2,116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7D6DCA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36.1%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8DBEBAE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6.8%</w:t>
            </w:r>
          </w:p>
        </w:tc>
      </w:tr>
      <w:tr w:rsidR="00B0100B" w14:paraId="47B4C482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1D10B5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Others（兜底未归类）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BAC888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约 445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4FE9C4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7.6%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6BE259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未单独测算</w:t>
            </w:r>
          </w:p>
        </w:tc>
      </w:tr>
      <w:tr w:rsidR="00B0100B" w14:paraId="758F04A7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CE380F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其余分层（本文未展开）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ED7B0D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约 2,109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3A70C2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36.0%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A8B1AC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未单独测算</w:t>
            </w:r>
          </w:p>
        </w:tc>
      </w:tr>
      <w:tr w:rsidR="00B0100B" w14:paraId="48E55683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AB27BFF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合计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C4BACE4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5,861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E349D10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100.0%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37A60EE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75.6%（已测算两层）</w:t>
            </w:r>
          </w:p>
        </w:tc>
      </w:tr>
    </w:tbl>
    <w:p w14:paraId="2134C771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Champions 用两成人数贡献近七成营收，是典型的二八结构。按金额单独排序，前 10% 客户贡献 63.9% 的营收，与分层结论互相印证。</w:t>
      </w:r>
    </w:p>
    <w:p w14:paraId="00D40A74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表中 Champions 与 At Risk 的营收占比是实测的，其余五层本文未拆分；人数占比合计 100%，与 5,861 的客户总数校验一致。</w:t>
      </w:r>
    </w:p>
    <w:p w14:paraId="61A1B3C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At Risk 占 36.1%（RFM 标签口径），却只贡献 6.8% 的营收。这个落差值得单独说：超过三分之一的客户处在流失风险区间，可他们加起来还不到一成营收。两边都不能单独看——只看人数会得出「三分之一客户要流失」的警报，只看营收会得出「无所谓」的结论。正确的读法是这批人不能按统一策略对待，召回的钱只该花在其中有历史价值的那一小部分，这正是第九节按价值分层测算的原因。</w:t>
      </w:r>
    </w:p>
    <w:p w14:paraId="137B60AC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1" w:name="section-7-2"/>
      <w:r>
        <w:rPr>
          <w:rFonts w:ascii="微软雅黑" w:eastAsia="微软雅黑" w:hAnsi="微软雅黑" w:cs="微软雅黑" w:hint="eastAsia"/>
          <w:color w:val="1565C0"/>
          <w:sz w:val="25"/>
        </w:rPr>
        <w:t>（二）生命周期阶段</w:t>
      </w:r>
      <w:bookmarkEnd w:id="21"/>
    </w:p>
    <w:p w14:paraId="7F3850F7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在 RFM 之外补充了生命周期阶段，作为另一套观察客户所处位置的标签。六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个阶段合计恰好等于客户总数 5,861，这个校验通过说明标签没有遗漏或重复。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346F9A09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E87138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阶段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F062A4C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客户数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A9154D0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判定要点</w:t>
            </w:r>
          </w:p>
        </w:tc>
      </w:tr>
      <w:tr w:rsidR="00B0100B" w14:paraId="1AD300EA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875297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成熟期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1C42D5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1,857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E0C598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高频、近期有购买</w:t>
            </w:r>
          </w:p>
        </w:tc>
      </w:tr>
      <w:tr w:rsidR="00B0100B" w14:paraId="2211387F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BD6C0F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流失期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8B580C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1,595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61AED6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超过个体复购间隔的 3 倍未回购</w:t>
            </w:r>
          </w:p>
        </w:tc>
      </w:tr>
      <w:tr w:rsidR="00B0100B" w14:paraId="0B4FD03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9B1119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沉默期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8FCA33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794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F0DB11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近期沉默但未达流失阈值</w:t>
            </w:r>
          </w:p>
        </w:tc>
      </w:tr>
      <w:tr w:rsidR="00B0100B" w14:paraId="535CFF83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FF2C5E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成长期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F9F5AE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780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F6E3E6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频次上升中</w:t>
            </w:r>
          </w:p>
        </w:tc>
      </w:tr>
      <w:tr w:rsidR="00B0100B" w14:paraId="6C5ADB36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1C3155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衰退期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417634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587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0489A7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频次下降中</w:t>
            </w:r>
          </w:p>
        </w:tc>
      </w:tr>
      <w:tr w:rsidR="00B0100B" w14:paraId="5C7C966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4989CDA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新客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DC64950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248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AF74E1D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仅一次购买且最近 60 天内有购买</w:t>
            </w:r>
          </w:p>
        </w:tc>
      </w:tr>
    </w:tbl>
    <w:p w14:paraId="32A2245D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这张表是 2011-12-09 的截面快照，不是两年累计。新客 248 人的口径是"只买过一次、且最近 60 天内有购买"，它回答的是当下有多少刚进来、还没走完第二单的客户，不能与累积两年的流失期客户 1,595 人比大小——两者时间窗不同，直接对比会得出"获客承接断裂"的错误判断。获客的真实走向见第五章第四节：新客数量在收缩，而不是进来后留不住。另需注意生命周期里的新客（248 人）与 RFM 里的 New Customers（367 人，定义为 R≥4 且 F≤1）是两套定义，引用时必须说明用的是哪一套。</w:t>
      </w:r>
    </w:p>
    <w:p w14:paraId="1159D9CE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两套标签看着是两个维度，实际高度共线：1,191 位 Champions 全部落在成熟期，2,117 位 At Risk 全部落在沉默期与流失期，Others 的 448 人全部在衰退期。原因是两者都由最近购买间隔主导，生命周期只是把 RFM 的 R 换了一种切法。因此这两张表不该相乘做成十字矩阵——交叉出来会是一条对角线，没有增量信息。真正有增量的是把历史价值与沉默时长分开看：客户按消费金额五等分、沉默时长分四档交叉，最高价值档里沉默超过 180 天的只有 113 人。这才是值得人工触达的范围，而不是 2,117 人一起发券。</w:t>
      </w:r>
    </w:p>
    <w:p w14:paraId="3F057B65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2" w:name="section-7-3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（三）流失风险名单</w:t>
      </w:r>
      <w:bookmarkEnd w:id="22"/>
    </w:p>
    <w:p w14:paraId="505B9713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按最近购买间隔超过个体复购间隔 3 倍的规则，识别出 2,149 位流失风险客户，占客户总数 36.7%。这个 36.7% 与上一节的 At Risk 36.1% 接近但不同源：这里是规则判定（间隔超 3 倍），上一节是 RFM 标签，两个数字不能互换引用。这批人历史营收占全部营收 12.2%，中位沉默期 420 天。</w:t>
      </w:r>
    </w:p>
    <w:p w14:paraId="64BF9562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有一处落差需要交代：两个名单人数几乎相同（2,149 与 2,117），营收占比却差了一倍（12.2% 与 6.8%）。拆开看就清楚了。两份名单的交集是 1,911 人，贡献 5.96% 营收、人均 533 英镑；规则名单独占的 238 人贡献 6.27% 营收、人均 4,501 英镑，中位下单 7 次、中位沉默 380 天；RFM 独占的 206 人只占 0.85%。差额全部来自那 238 人——他们买得频繁、金额大、但已经沉默一年左右。购买次数多会把个体的复购间隔压得很短，3 倍阈值容易触发；而在 RFM 里，他们的 M 分与 F 分较高，被分去了别的层，反而没进 At Risk。</w:t>
      </w:r>
    </w:p>
    <w:p w14:paraId="24D2B682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这条差异直接改变召回名单的做法。只看 RFM 的 At Risk，会漏掉最该找回的一批人；只看规则名单，又会把 1,900 多个小额客户一起圈进来。可行的做法是两个条件叠加：规则判定 ∩ 历史价值前 20%，这也是第九节定向方案的取数逻辑。名单整体的价值占比不高，召回的经济性因此取决于能不能把这 238 人挑出来，而不是把 2,149 人一起发券。</w:t>
      </w:r>
    </w:p>
    <w:p w14:paraId="42B04DE7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23" w:name="section-8"/>
      <w:r>
        <w:rPr>
          <w:rFonts w:ascii="微软雅黑" w:eastAsia="微软雅黑" w:hAnsi="微软雅黑" w:cs="微软雅黑" w:hint="eastAsia"/>
          <w:color w:val="1A237E"/>
          <w:sz w:val="31"/>
        </w:rPr>
        <w:t>七、商品结构</w:t>
      </w:r>
      <w:bookmarkEnd w:id="23"/>
    </w:p>
    <w:p w14:paraId="00A964FF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客户端的问题之外，商品端有一块相对独立、可以先动的空间。这一节看集中度、滞销规模与连带关系。</w:t>
      </w:r>
    </w:p>
    <w:p w14:paraId="7D944873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4" w:name="section-8-1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（一）ABC 分级</w:t>
      </w:r>
      <w:bookmarkEnd w:id="24"/>
    </w:p>
    <w:p w14:paraId="3CAC5E5D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按营收累计占比分级，结果高度长尾。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B0100B" w14:paraId="18C9AD17" w14:textId="77777777">
        <w:trPr>
          <w:cantSplit/>
          <w:tblHeader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BACDB18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分级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15E023B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SKU 数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E887B75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SKU 占比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14F5123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营收占比</w:t>
            </w:r>
          </w:p>
        </w:tc>
      </w:tr>
      <w:tr w:rsidR="00B0100B" w14:paraId="3D8A3BB1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C0219A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A 类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79F14C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1,003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CEBF7F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21.7%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394C65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80%</w:t>
            </w:r>
          </w:p>
        </w:tc>
      </w:tr>
      <w:tr w:rsidR="00B0100B" w14:paraId="4DF396EB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B20DCB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B + C 类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6BFB258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3,621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329A26C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78.3%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F48FBE1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20%</w:t>
            </w:r>
          </w:p>
        </w:tc>
      </w:tr>
    </w:tbl>
    <w:p w14:paraId="14F18758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A 类 1,003 个 SKU 撑起八成营收，与客户端的二八结构一致。但集中度并没有想象中极端：Top10 SKU 只占营收 8.1%，Top100 占 29.7%。这说明</w:t>
      </w:r>
      <w:r>
        <w:rPr>
          <w:rFonts w:ascii="宋体" w:eastAsia="宋体" w:hAnsi="宋体" w:cs="宋体" w:hint="eastAsia"/>
          <w:b/>
          <w:color w:val="212121"/>
          <w:sz w:val="24"/>
        </w:rPr>
        <w:t>A 类是一个约 1,000 个商品的集合，而不是少数几个爆款</w:t>
      </w:r>
      <w:r>
        <w:rPr>
          <w:rFonts w:ascii="宋体" w:eastAsia="宋体" w:hAnsi="宋体" w:cs="宋体" w:hint="eastAsia"/>
          <w:color w:val="212121"/>
          <w:sz w:val="24"/>
        </w:rPr>
        <w:t>。对选品与备货的含义是：不需要押注单品，但需要维护一个千级规模的常备商品池。</w:t>
      </w:r>
    </w:p>
    <w:p w14:paraId="10E209DF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drawing>
          <wp:inline distT="0" distB="0" distL="0" distR="0" wp14:anchorId="1F7605D1" wp14:editId="0DC9E371">
            <wp:extent cx="5274000" cy="2706003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0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6DC1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5　商品营收累计曲线。虚线交点即 A 类切点：1,003 个 SKU 占 21.7% 的数量、贡献 80% 营收。</w:t>
      </w:r>
    </w:p>
    <w:p w14:paraId="2DFC525E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5" w:name="section-8-2"/>
      <w:r>
        <w:rPr>
          <w:rFonts w:ascii="微软雅黑" w:eastAsia="微软雅黑" w:hAnsi="微软雅黑" w:cs="微软雅黑" w:hint="eastAsia"/>
          <w:color w:val="1565C0"/>
          <w:sz w:val="25"/>
        </w:rPr>
        <w:t>（二）滞销 SKU</w:t>
      </w:r>
      <w:bookmarkEnd w:id="25"/>
    </w:p>
    <w:p w14:paraId="43F09E0A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有效 SKU 4,624 个，其中 1,404 个为滞销（占 30.4%），78.6% 落在 C 类，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 xml:space="preserve">中位静止天数 456 天。这 1,404 个 SKU 两年合计贡献营收 123.3 万英镑，占 GMV 的 </w:t>
      </w:r>
      <w:r>
        <w:rPr>
          <w:rFonts w:ascii="宋体" w:eastAsia="宋体" w:hAnsi="宋体" w:cs="宋体"/>
          <w:b/>
          <w:color w:val="A61B29"/>
          <w:sz w:val="24"/>
        </w:rPr>
        <w:t>7.2%</w:t>
      </w:r>
      <w:r>
        <w:rPr>
          <w:rFonts w:ascii="宋体" w:eastAsia="宋体" w:hAnsi="宋体" w:cs="宋体" w:hint="eastAsia"/>
          <w:color w:val="212121"/>
          <w:sz w:val="24"/>
        </w:rPr>
        <w:t>；单个 SKU 两年平均只有 878 英镑，中位数 304 英镑。</w:t>
      </w:r>
    </w:p>
    <w:p w14:paraId="00EBC0D3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这个数字改变了清仓的做法。原来只说「三成 SKU 占着库存与展示位」，听起来规模很大；但按营收看只有 7.2%，一刀切清掉不会伤到生意。不过其中 69 个属于 A 类滞销品，合计营收 48.6 万、占滞销营收的 39.4%——这些是曾经卖得好、近一年不动销的商品，可能是断货、被替代，也可能本身是季节品，要先做单品诊断，不能和 C 类的小额滞销一起清。真正可以直接清的是 C 类那 1,103 个：营收中位不足 300 英镑，清仓损失可以忽略，换回的是库存与展示位。</w:t>
      </w:r>
    </w:p>
    <w:p w14:paraId="6F51144C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品类偏好标签在这个环节不可用——客户级 TopCategory 中其他类占 62.9%，标签只对 37% 的客户有效，覆盖不足，已从分析中剔除；商品侧品类结构按营收计算覆盖率约 70%，可作为参考，但需注明是按商品名关键词自建的近似口径，不是原始字段。</w:t>
      </w:r>
    </w:p>
    <w:p w14:paraId="1484A9EA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6" w:name="section-8-3"/>
      <w:r>
        <w:rPr>
          <w:rFonts w:ascii="微软雅黑" w:eastAsia="微软雅黑" w:hAnsi="微软雅黑" w:cs="微软雅黑" w:hint="eastAsia"/>
          <w:color w:val="1565C0"/>
          <w:sz w:val="25"/>
        </w:rPr>
        <w:t>（三）购物篮与连带</w:t>
      </w:r>
      <w:bookmarkEnd w:id="26"/>
    </w:p>
    <w:p w14:paraId="4077303A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用 FP-Growth 做关联规则挖掘，支持度阈值筛选后保留 50 条规则，其中 10 条 lift 大于 10，最强的一条置信度 70.5%、lift 27.3。规则的运营价值还取决于覆盖基数：50 条规则每条覆盖 734—1,064 单，中位 850 单，约占全部订单的 2.3%；50 条合起来覆盖 8,498 单，占 36,639 单的 </w:t>
      </w:r>
      <w:r>
        <w:rPr>
          <w:rFonts w:ascii="宋体" w:eastAsia="宋体" w:hAnsi="宋体" w:cs="宋体"/>
          <w:b/>
          <w:color w:val="A61B29"/>
          <w:sz w:val="24"/>
        </w:rPr>
        <w:t>23.2%</w:t>
      </w:r>
      <w:r>
        <w:rPr>
          <w:rFonts w:ascii="宋体" w:eastAsia="宋体" w:hAnsi="宋体" w:cs="宋体" w:hint="eastAsia"/>
          <w:color w:val="212121"/>
          <w:sz w:val="24"/>
        </w:rPr>
        <w:t>。每四张订单里有一张能用上现成的搭配推荐，这个基数够做捆绑位与货架排序，不是只有统计意义的规则。</w:t>
      </w:r>
    </w:p>
    <w:p w14:paraId="37820015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规则内容有一个共同特征值得说明：</w:t>
      </w:r>
      <w:r>
        <w:rPr>
          <w:rFonts w:ascii="宋体" w:eastAsia="宋体" w:hAnsi="宋体" w:cs="宋体" w:hint="eastAsia"/>
          <w:b/>
          <w:color w:val="212121"/>
          <w:sz w:val="24"/>
        </w:rPr>
        <w:t>连带主要发生在同款不同规格与配件之间，而不是跨品类凑单</w:t>
      </w:r>
      <w:r>
        <w:rPr>
          <w:rFonts w:ascii="宋体" w:eastAsia="宋体" w:hAnsi="宋体" w:cs="宋体" w:hint="eastAsia"/>
          <w:color w:val="212121"/>
          <w:sz w:val="24"/>
        </w:rPr>
        <w:t>，例如同系列装饰品的不同尺寸、烛台与蜡烛。这个结论直接决定了推荐位的摆法——按同款规格加配套件组合，比按品类做交叉销售更有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效，因为客户的购买动机是凑齐一套，不是发现新品类。</w:t>
      </w:r>
    </w:p>
    <w:p w14:paraId="1149E565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27" w:name="section-9"/>
      <w:r>
        <w:rPr>
          <w:rFonts w:ascii="微软雅黑" w:eastAsia="微软雅黑" w:hAnsi="微软雅黑" w:cs="微软雅黑" w:hint="eastAsia"/>
          <w:color w:val="1A237E"/>
          <w:sz w:val="31"/>
        </w:rPr>
        <w:t>八、监控与预警</w:t>
      </w:r>
      <w:bookmarkEnd w:id="27"/>
    </w:p>
    <w:p w14:paraId="5AF21D45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前面的分析都是一次性回溯。要让结论在日常运营里持续起作用，需要把关键指标变成可持续运行的监控规则。</w:t>
      </w:r>
    </w:p>
    <w:p w14:paraId="1559C825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8" w:name="section-9-1"/>
      <w:r>
        <w:rPr>
          <w:rFonts w:ascii="微软雅黑" w:eastAsia="微软雅黑" w:hAnsi="微软雅黑" w:cs="微软雅黑" w:hint="eastAsia"/>
          <w:color w:val="1565C0"/>
          <w:sz w:val="25"/>
        </w:rPr>
        <w:t>（一）规则设计与回溯</w:t>
      </w:r>
      <w:bookmarkEnd w:id="28"/>
    </w:p>
    <w:p w14:paraId="305FF262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设置了两类阈值规则：环比波动超过 ±30%、偏离 3σ。对 24 个可计算环比的月份做回溯，结果如下。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058ED8C1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6BE26341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规则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6706A3A8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触发次数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4C1455E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说明</w:t>
            </w:r>
          </w:p>
        </w:tc>
      </w:tr>
      <w:tr w:rsidR="00B0100B" w14:paraId="2236231A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41E210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环比 ±30%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2E5FD3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6 次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C30ABA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其中 2010-12 的 -51.1% 含数据截断（该月止于 12-23），不能全归为季节回落</w:t>
            </w:r>
          </w:p>
        </w:tc>
      </w:tr>
      <w:tr w:rsidR="00B0100B" w14:paraId="7C7F7281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1ED529F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3σ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8875DC0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0 次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C246D3C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月度 GMV 波动始终在 3σ 内，规则从未触发</w:t>
            </w:r>
          </w:p>
        </w:tc>
      </w:tr>
    </w:tbl>
    <w:p w14:paraId="4058CBA7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这个结果需要如实呈现：环比规则命中的 6 次里有明确的季节性假阳性；3σ 一次未触发，说明按月度总量算的波动幅度本身就不足以触发统计告警——它在这里既不误报也报不出问题，等于没有信息量。</w:t>
      </w:r>
      <w:r>
        <w:rPr>
          <w:rFonts w:ascii="宋体" w:eastAsia="宋体" w:hAnsi="宋体" w:cs="宋体" w:hint="eastAsia"/>
          <w:b/>
          <w:color w:val="212121"/>
          <w:sz w:val="24"/>
        </w:rPr>
        <w:t>不能宣称监控规则已可用</w:t>
      </w:r>
      <w:r>
        <w:rPr>
          <w:rFonts w:ascii="宋体" w:eastAsia="宋体" w:hAnsi="宋体" w:cs="宋体" w:hint="eastAsia"/>
          <w:color w:val="212121"/>
          <w:sz w:val="24"/>
        </w:rPr>
        <w:t>，正确表述是规则框架已建立、阈值需结合季节性基线调优。已为预警表补上去年同期环比列，用以区分真异常与季节波动。</w:t>
      </w:r>
    </w:p>
    <w:p w14:paraId="2989AB33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9" w:name="section-9-2"/>
      <w:r>
        <w:rPr>
          <w:rFonts w:ascii="微软雅黑" w:eastAsia="微软雅黑" w:hAnsi="微软雅黑" w:cs="微软雅黑" w:hint="eastAsia"/>
          <w:color w:val="1565C0"/>
          <w:sz w:val="25"/>
        </w:rPr>
        <w:t>（二）监控对象的选择</w:t>
      </w:r>
      <w:bookmarkEnd w:id="29"/>
    </w:p>
    <w:p w14:paraId="21797BBA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前面的分析已经说明，需要分开监控的是三类性质不同的指标。</w:t>
      </w:r>
    </w:p>
    <w:p w14:paraId="4C8C4AE3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lastRenderedPageBreak/>
        <w:t>规模。</w:t>
      </w:r>
      <w:r>
        <w:rPr>
          <w:rFonts w:ascii="宋体" w:eastAsia="宋体" w:hAnsi="宋体" w:cs="宋体" w:hint="eastAsia"/>
          <w:color w:val="212121"/>
          <w:sz w:val="24"/>
        </w:rPr>
        <w:t>月度 GMV、订单量，用环比加去年同期同比双基准确认异常。</w:t>
      </w:r>
    </w:p>
    <w:p w14:paraId="3D21C8C5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体验。</w:t>
      </w:r>
      <w:r>
        <w:rPr>
          <w:rFonts w:ascii="宋体" w:eastAsia="宋体" w:hAnsi="宋体" w:cs="宋体" w:hint="eastAsia"/>
          <w:color w:val="212121"/>
          <w:sz w:val="24"/>
        </w:rPr>
        <w:t>取消率（单量），看趋势不看绝对值。</w:t>
      </w:r>
    </w:p>
    <w:p w14:paraId="54201365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风险。</w:t>
      </w:r>
      <w:r>
        <w:rPr>
          <w:rFonts w:ascii="宋体" w:eastAsia="宋体" w:hAnsi="宋体" w:cs="宋体" w:hint="eastAsia"/>
          <w:color w:val="212121"/>
          <w:sz w:val="24"/>
        </w:rPr>
        <w:t>单笔大额取消。取消金额集中度这么高，均值监控是失效的，必须对单笔设阈值。</w:t>
      </w:r>
    </w:p>
    <w:p w14:paraId="6D94DDC2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30" w:name="section-10"/>
      <w:r>
        <w:rPr>
          <w:rFonts w:ascii="微软雅黑" w:eastAsia="微软雅黑" w:hAnsi="微软雅黑" w:cs="微软雅黑" w:hint="eastAsia"/>
          <w:color w:val="1A237E"/>
          <w:sz w:val="31"/>
        </w:rPr>
        <w:t>九、召回策略的成本收益测算</w:t>
      </w:r>
      <w:bookmarkEnd w:id="30"/>
    </w:p>
    <w:p w14:paraId="030C540A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对流失风险客群做召回方案的成本收益模拟。参数先全部列明，因为 ROI 对表里每一个数都敏感。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15B6C69B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B00C12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参数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6FEAD84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取值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63538233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说明</w:t>
            </w:r>
          </w:p>
        </w:tc>
      </w:tr>
      <w:tr w:rsidR="00B0100B" w14:paraId="54CE7D8C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FEDE74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毛利率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4CD4BE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30%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2E5CBF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数据无成本价，按行业经验设定</w:t>
            </w:r>
          </w:p>
        </w:tc>
      </w:tr>
      <w:tr w:rsidR="00B0100B" w14:paraId="51249521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0B3544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券面额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AB406C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£5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774A68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单张券的成本</w:t>
            </w:r>
          </w:p>
        </w:tc>
      </w:tr>
      <w:tr w:rsidR="00B0100B" w14:paraId="51E91C38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379ECF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响应提升（uplift）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785126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5 个百分点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720D71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发券组相对不发券组的回流率增量</w:t>
            </w:r>
          </w:p>
        </w:tc>
      </w:tr>
      <w:tr w:rsidR="00B0100B" w14:paraId="3DC917E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6EC8262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人均触达成本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A52D4F9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£8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6C1398A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短信、外呼与人力分摊的估算值</w:t>
            </w:r>
          </w:p>
        </w:tc>
      </w:tr>
    </w:tbl>
    <w:p w14:paraId="66A60E25" w14:textId="77777777" w:rsidR="00B0100B" w:rsidRDefault="00117112">
      <w:pPr>
        <w:keepNext/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测算两个场景。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B0100B" w14:paraId="3F73A7E5" w14:textId="77777777">
        <w:trPr>
          <w:cantSplit/>
          <w:tblHeader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B798181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场景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F69E018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目标人群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BC6D555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规模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5F2E4D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客单价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5241C01B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模拟 ROI</w:t>
            </w:r>
          </w:p>
        </w:tc>
      </w:tr>
      <w:tr w:rsidR="00B0100B" w14:paraId="18619A18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2FCDF1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全员发券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A0792EE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全部流失风险客户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F9C8DE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2,149 人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3FD924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约 £104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1E20EE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0.12</w:t>
            </w:r>
          </w:p>
        </w:tc>
      </w:tr>
      <w:tr w:rsidR="00B0100B" w14:paraId="4C6443FD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36141B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定向发券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522EFC1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流失风险中历史价值前 20%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854BD11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430 人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5E61C0D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£540.22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7CF07A0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0.62</w:t>
            </w:r>
          </w:p>
        </w:tc>
      </w:tr>
    </w:tbl>
    <w:p w14:paraId="3D9129F6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两个场景的人均总成本都是 £13，即券面 £5 加触达 £8。ROI 的算法是增量毛利除以总投入，以定向场景为例：单客毛利 540.22 × 30% = £162.07；回流增量 430 × 5% = 21.5 人；增量毛利 21.5 × 162.07 ≈ £3,484；总投入 430 ×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（£5 + £8）= £5,590；ROI = 3,484 ÷ 5,590 ≈ 0.62。</w:t>
      </w:r>
    </w:p>
    <w:p w14:paraId="05038F2C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两个场景的差别只在客单价。定向场景取 430 人的历史均值 £540.22；全员场景覆盖 2,149 人，这批人的单笔均值只有约 £104（多数已转成小额补货）——单客毛利 104 × 30% ≈ £31.2，回流 2,149 × 5% ≈ 107 人，增量毛利约 £3,352，总投入 2,149 × £13 = £27,937，ROI ≈ 0.12。客单价相差五倍，就是同一条公式算出两个结果的全部原因。</w:t>
      </w:r>
    </w:p>
    <w:p w14:paraId="7498456D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触达成本这一项不能省。</w:t>
      </w:r>
      <w:r>
        <w:rPr>
          <w:rFonts w:ascii="宋体" w:eastAsia="宋体" w:hAnsi="宋体" w:cs="宋体" w:hint="eastAsia"/>
          <w:color w:val="212121"/>
          <w:sz w:val="24"/>
        </w:rPr>
        <w:t>如果只计券面而不计触达，同一个算式会得到 1.62，结论直接反转。£8 是按 0.62 反推出来的差额，实际值需要用真实渠道单价校准；在校准之前，这条测算只作方向判断。</w:t>
      </w:r>
    </w:p>
    <w:p w14:paraId="10AC5A84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两个方案的 ROI 都小于 1。但比起“都不成立”，更有用的是把临界点算出来——ROI 达到 1 需要人均成本降到增量毛利除以目标人数。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B0100B" w14:paraId="79E9A780" w14:textId="77777777">
        <w:trPr>
          <w:cantSplit/>
          <w:tblHeader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F192D6E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场景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3F0A6A2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增量毛利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2356E3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临界人均成本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56D30EB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与 £13 的差距</w:t>
            </w:r>
          </w:p>
        </w:tc>
      </w:tr>
      <w:tr w:rsidR="00B0100B" w14:paraId="6ACB69DE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3CBE2D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全员发券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FCA505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£3,352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F79B5B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£1.56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B3DBEBE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需压低 88%</w:t>
            </w:r>
          </w:p>
        </w:tc>
      </w:tr>
      <w:tr w:rsidR="00B0100B" w14:paraId="4A0F2991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8A96A9A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定向发券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66B60A6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£3,484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0679DD1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£8.10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21E28C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需压低 38%</w:t>
            </w:r>
          </w:p>
        </w:tc>
      </w:tr>
    </w:tbl>
    <w:p w14:paraId="42BA8042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差距悬殊是这里的关键：定向方案的临界成本 </w:t>
      </w:r>
      <w:r>
        <w:rPr>
          <w:rFonts w:ascii="宋体" w:eastAsia="宋体" w:hAnsi="宋体" w:cs="宋体"/>
          <w:b/>
          <w:color w:val="212121"/>
          <w:sz w:val="24"/>
        </w:rPr>
        <w:t>£8.10</w:t>
      </w:r>
      <w:r>
        <w:rPr>
          <w:rFonts w:ascii="宋体" w:eastAsia="宋体" w:hAnsi="宋体" w:cs="宋体" w:hint="eastAsia"/>
          <w:color w:val="212121"/>
          <w:sz w:val="24"/>
        </w:rPr>
        <w:t xml:space="preserve"> 落在非价格触达的成本区间内，改造后有机会过线；全员方案的 </w:t>
      </w:r>
      <w:r>
        <w:rPr>
          <w:rFonts w:ascii="宋体" w:eastAsia="宋体" w:hAnsi="宋体" w:cs="宋体"/>
          <w:b/>
          <w:color w:val="212121"/>
          <w:sz w:val="24"/>
        </w:rPr>
        <w:t>£1.56</w:t>
      </w:r>
      <w:r>
        <w:rPr>
          <w:rFonts w:ascii="宋体" w:eastAsia="宋体" w:hAnsi="宋体" w:cs="宋体" w:hint="eastAsia"/>
          <w:color w:val="212121"/>
          <w:sz w:val="24"/>
        </w:rPr>
        <w:t xml:space="preserve"> 低于任何人工触达的成本，只能靠系统内自动消息实现，而这批人历史价值低，即便触达也不足以覆盖。</w:t>
      </w:r>
    </w:p>
    <w:p w14:paraId="07D742FD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把 uplift 与人均成本两两组合，可以看到过线区域到底有多大。16 个组合里有 9 个 ROI 大于 1，全部集中在低成本一侧：人均成本 £3 时 uplift 只要到 2% 就能过线，£5 时约需 3.1%，£8 时需 4.9%（当前假设 5% 刚好过线），£13 时需 8.0% 以上。</w:t>
      </w:r>
    </w:p>
    <w:p w14:paraId="6831A3AC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lastRenderedPageBreak/>
        <w:drawing>
          <wp:inline distT="0" distB="0" distL="0" distR="0" wp14:anchorId="15272897" wp14:editId="1A4CE7B9">
            <wp:extent cx="5274000" cy="31828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8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ED6D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6　定向场景 ROI 对 uplift 与人均触达成本的敏感性（客单价 £540.22、毛利率 30%）。绿色为 ROI 大于 1 的组合。</w:t>
      </w:r>
    </w:p>
    <w:p w14:paraId="488156AC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这个结果的价值不在于证明召回无效，而在于给出三个可执行的信息。</w:t>
      </w:r>
    </w:p>
    <w:p w14:paraId="24E6E9CA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全员方案可以就此关掉</w:t>
      </w:r>
      <w:r>
        <w:rPr>
          <w:rFonts w:ascii="宋体" w:eastAsia="宋体" w:hAnsi="宋体" w:cs="宋体" w:hint="eastAsia"/>
          <w:color w:val="212121"/>
          <w:sz w:val="24"/>
        </w:rPr>
        <w:t>，不必再测。2,149 人的名单里 36.7% 的人数只对应 12.2% 的营收，增量毛利撑不住任何人均成本超过 £1.56 的投入。</w:t>
      </w:r>
    </w:p>
    <w:p w14:paraId="49A3B409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定向方案不该放弃，要改的是成本结构</w:t>
      </w:r>
      <w:r>
        <w:rPr>
          <w:rFonts w:ascii="宋体" w:eastAsia="宋体" w:hAnsi="宋体" w:cs="宋体" w:hint="eastAsia"/>
          <w:color w:val="212121"/>
          <w:sz w:val="24"/>
        </w:rPr>
        <w:t>。券面 5 英镑是硬的，触达 8 英镑是软的；换成补货提醒、同款规格推荐这类系统内通知，人均成本有机会压到 £8.10 以下。连带规则已经给出可用组合，不需要另做推荐逻辑。</w:t>
      </w:r>
    </w:p>
    <w:p w14:paraId="283EAC51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若要继续用券，就得继续收紧人群</w:t>
      </w:r>
      <w:r>
        <w:rPr>
          <w:rFonts w:ascii="宋体" w:eastAsia="宋体" w:hAnsi="宋体" w:cs="宋体" w:hint="eastAsia"/>
          <w:color w:val="212121"/>
          <w:sz w:val="24"/>
        </w:rPr>
        <w:t>。按 90 天内流失且历史价值前 10% 再切一刀，客单价上升会拉高单客毛利，临界成本随之放宽。</w:t>
      </w:r>
    </w:p>
    <w:p w14:paraId="07655A40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31" w:name="section-11"/>
      <w:r>
        <w:rPr>
          <w:rFonts w:ascii="微软雅黑" w:eastAsia="微软雅黑" w:hAnsi="微软雅黑" w:cs="微软雅黑" w:hint="eastAsia"/>
          <w:color w:val="1A237E"/>
          <w:sz w:val="31"/>
        </w:rPr>
        <w:lastRenderedPageBreak/>
        <w:t>十、结论与建议</w:t>
      </w:r>
      <w:bookmarkEnd w:id="31"/>
    </w:p>
    <w:p w14:paraId="5643ECEA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把前面的发现收敛成六条结论，再给出四项可执行的建议，每项都附测算依据。</w:t>
      </w:r>
    </w:p>
    <w:p w14:paraId="06E4B889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32" w:name="section-11-1"/>
      <w:r>
        <w:rPr>
          <w:rFonts w:ascii="微软雅黑" w:eastAsia="微软雅黑" w:hAnsi="微软雅黑" w:cs="微软雅黑" w:hint="eastAsia"/>
          <w:color w:val="1565C0"/>
          <w:sz w:val="25"/>
        </w:rPr>
        <w:t>（一）结论</w:t>
      </w:r>
      <w:bookmarkEnd w:id="32"/>
    </w:p>
    <w:p w14:paraId="0F8805FC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规模稳定但无自然增长：两年 1,707 万英镑，客单价 466 英镑；剔除末期不完整月后，月度 GMV 在 44—116 万之间，波动由季节主导（11 月较月均高约 67%），年度总量无趋势。</w:t>
      </w:r>
    </w:p>
    <w:p w14:paraId="705A6072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收入集中度已到上限：英国 84%、10—11 月 25.2%，集中度带来低运营成本，但也消除了风险分散机制。</w:t>
      </w:r>
    </w:p>
    <w:p w14:paraId="5632F5B1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风险在获客而非留存：剔除观察窗不完整的两个末月批次后，2011 年新客次月留存 23.6%，高于 2010 年的 19.9%（z=2.81）；但同月新增客户月均由 300 人降至 137 人，11 个月无一月同比转正。</w:t>
      </w:r>
    </w:p>
    <w:p w14:paraId="7C085FF0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营收依赖存量高价值客户：Champions 占 20.3% 人数、68.8% 营收，金额前 10% 客户贡献 63.9%；另一面是 At Risk 占 36.1% 人数、只贡献 6.8% 营收。</w:t>
      </w:r>
    </w:p>
    <w:p w14:paraId="685575D1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商品端有明确的清理空间：1,404 个滞销 SKU 占有效 SKU 的 30.4%，但只贡献 7.2% 营收，清仓对生意影响很小；其中 69 个 A 类滞销品占滞销营收近四成，需先诊断再定去留。</w:t>
      </w:r>
    </w:p>
    <w:p w14:paraId="3195C80A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价格型召回按当前成本结构不成立：ROI 0.12 与 0.62。但定向方案的临界人均成本是 £8.10，改用非价格触达有转正空间；全员方案 £1.56，没有实现路径。</w:t>
      </w:r>
    </w:p>
    <w:p w14:paraId="5A27FDCD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33" w:name="section-11-2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（二）建议</w:t>
      </w:r>
      <w:bookmarkEnd w:id="33"/>
    </w:p>
    <w:p w14:paraId="4B4076F7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四条建议按「预期影响 ÷ 执行成本」排，不是按发现问题的顺序排。</w:t>
      </w:r>
    </w:p>
    <w:p w14:paraId="0320C53D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建议一：把复购触达固定卡在首单后第 25—30 天。</w:t>
      </w:r>
      <w:r>
        <w:rPr>
          <w:rFonts w:ascii="宋体" w:eastAsia="宋体" w:hAnsi="宋体" w:cs="宋体" w:hint="eastAsia"/>
          <w:color w:val="212121"/>
          <w:sz w:val="24"/>
        </w:rPr>
        <w:t>依据是复购间隔中位数 25 天：到这一天还没复购的客户已经落在节奏的后半段。做法是先取首单后 25 天未复购的客户名单，用非价格方式触达（补货提醒、同款规格推荐）。连带规则已经给出可用的推荐组合——同款不同规格与配件，不需要另做推荐逻辑。在新增客户连续两年收缩的情况下，把每个新客的第二次购买做出来，比继续加大拉新投入更可控；这条也不依赖券预算，是四条里唯一可以立刻启动的。效果能单独度量：实验组与对照组的 30 天内二次购买率，实测基线是 22.6%（首单后有完整 30 天观察窗的 5,691 人中有 1,287 人复购）。</w:t>
      </w:r>
    </w:p>
    <w:p w14:paraId="1B3B7108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目标值要按统计功效反推，不能拍脑袋。在 α=0.05、power=0.8 下，要测出 3 个百分点的提升，每组需要 3,188 人，按月均新增 137 人要跑 46 个月，不现实；测 5 个百分点每组 1,177 人；测 10 个百分点每组 310 人，两个月内能跑完。所以这个实验应当先追大改版——同款配件组合推荐与补货提醒一起上，目标定在 10 个百分点量级，先把「这套触达有没有用」验证掉；方向确认之后再谈小幅优化，否则测不出差别的实验等于没做。</w:t>
      </w:r>
    </w:p>
    <w:p w14:paraId="526BF867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建议二：召回改用非价格触达，只投定向人群。</w:t>
      </w:r>
      <w:r>
        <w:rPr>
          <w:rFonts w:ascii="宋体" w:eastAsia="宋体" w:hAnsi="宋体" w:cs="宋体" w:hint="eastAsia"/>
          <w:color w:val="212121"/>
          <w:sz w:val="24"/>
        </w:rPr>
        <w:t>第九节的临界成本给出了明确条件：定向方案的人均成本要压到 £8.10 以下。券面 5 英镑是硬的，触达 8 英镑是软的，把它压到 3 英镑以内 ROI 就过线。执行上先取 90 天内流失且历史价值前 10% 的更窄一批重测 ROI，同时并行一组无券的补货提醒做对照；ROI 达到 1 以上再谈扩大。全员方案直接关掉，不必再测。</w:t>
      </w:r>
    </w:p>
    <w:p w14:paraId="1325769D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建议三：分层清退滞销 SKU，先清 C 类、再看 A 类。</w:t>
      </w:r>
      <w:r>
        <w:rPr>
          <w:rFonts w:ascii="宋体" w:eastAsia="宋体" w:hAnsi="宋体" w:cs="宋体" w:hint="eastAsia"/>
          <w:color w:val="212121"/>
          <w:sz w:val="24"/>
        </w:rPr>
        <w:t>排在第三是因为它确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定性能算清、收益算不清：释放的库存资金与展示位是实在的，但数据里没有成本价，折不成金额（见第十一节）。现在有营收侧的数字了：1,404 个滞销 SKU 两年合计只贡献 7.2% 的 GMV，中位 304 英镑，整体清掉伤不到生意。但内部要分开处理——C 类的 1,103 个可以直接清仓定价、随后下架；A 类的 69 个必须单独诊断，它们合计 48.6 万、占滞销营收近四成，属于「曾经好卖、现在不动」，先查是不是断货、被替代或季节品，确认是真实衰退再清。用同一套规则处理这两批，要么冤枉了还能救的品，要么留下清不掉的尾货。</w:t>
      </w:r>
    </w:p>
    <w:p w14:paraId="1F442DC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建议四（配套）：把取消监控从均值改为单笔阈值。</w:t>
      </w:r>
      <w:r>
        <w:rPr>
          <w:rFonts w:ascii="宋体" w:eastAsia="宋体" w:hAnsi="宋体" w:cs="宋体" w:hint="eastAsia"/>
          <w:color w:val="212121"/>
          <w:sz w:val="24"/>
        </w:rPr>
        <w:t>取消金额 Top1 一笔就占 23.4%，均值监控在这份数据上不具区分度。按单笔设阈值（例如单笔取消金额超过 5 万英镑触发人工核查），比看月度取消率更能捕捉真实风险。</w:t>
      </w:r>
    </w:p>
    <w:p w14:paraId="159D8689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34" w:name="section-12"/>
      <w:r>
        <w:rPr>
          <w:rFonts w:ascii="微软雅黑" w:eastAsia="微软雅黑" w:hAnsi="微软雅黑" w:cs="微软雅黑" w:hint="eastAsia"/>
          <w:color w:val="1A237E"/>
          <w:sz w:val="31"/>
        </w:rPr>
        <w:lastRenderedPageBreak/>
        <w:t>十一、局限与后续</w:t>
      </w:r>
      <w:bookmarkEnd w:id="34"/>
    </w:p>
    <w:p w14:paraId="573EFBAD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这份分析有几处边界必须说明，它们不是执行不到位，而是数据本身不提供。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387808E8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64A07B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局限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117F372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影响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EE313B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后续处理</w:t>
            </w:r>
          </w:p>
        </w:tc>
      </w:tr>
      <w:tr w:rsidR="00B0100B" w14:paraId="05B91150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FFA7ED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无浏览、加购、曝光行为数据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7DFE18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无法做漏斗与 AARRR 拆解，无法定位流失发生在哪一步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2DAFA1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需要埋点数据，当前只能从交易侧推断</w:t>
            </w:r>
          </w:p>
        </w:tc>
      </w:tr>
      <w:tr w:rsidR="00B0100B" w14:paraId="62CB600D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7D9CC1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无成本价与费用明细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97706E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毛利、真实 ROI 均为按假设参数模拟，不是实测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651FFB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测算结论只能作方向判断，不能作投资决策</w:t>
            </w:r>
          </w:p>
        </w:tc>
      </w:tr>
      <w:tr w:rsidR="00B0100B" w14:paraId="67E88CA4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F30AD6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无活动标记、无分流字段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978808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无法复盘真实活动，也无法从历史数据中划出实验组与对照组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EE8E6B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实验只能前瞻设计（建议一已给出样本量），历史侧做不了</w:t>
            </w:r>
          </w:p>
        </w:tc>
      </w:tr>
      <w:tr w:rsidR="00B0100B" w14:paraId="4FDB335F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F68615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约 7.4% 订单无客户 ID（占金额 15.1%）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26A564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客户维度分析系统性低估高价值贡献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47D240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推动注册或线下单据回填</w:t>
            </w:r>
          </w:p>
        </w:tc>
      </w:tr>
      <w:tr w:rsidR="00B0100B" w14:paraId="3D2EB2A7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74EAAC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客户品类偏好标签覆盖率仅 37%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FF9E03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已从分析中剔除，商品侧改用自建近似口径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01B94F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需要商品主数据与标准品类树</w:t>
            </w:r>
          </w:p>
        </w:tc>
      </w:tr>
      <w:tr w:rsidR="00B0100B" w14:paraId="1DB73009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388923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数据截止 2011-12-09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95E8FF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末期月度指标不完整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BC5C8D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指标表已标记不完整月，跨期比较需排除</w:t>
            </w:r>
          </w:p>
        </w:tc>
      </w:tr>
      <w:tr w:rsidR="00B0100B" w14:paraId="200CA903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7BA7ED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RFM 分箱规则未固化到脚本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8A0F96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表内分层人数按业务分箱得出，规则未写入任何脚本；改用等频五分位只能复现 Champions 1,282 人，得不到 1,191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28E16C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需把分箱阈值写进脚本并留档，否则该层无法复现</w:t>
            </w:r>
          </w:p>
        </w:tc>
      </w:tr>
      <w:tr w:rsidR="00B0100B" w14:paraId="4363405B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0BC8DF8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两个年度工作表在 2010-12 重叠 9 天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C9F1E35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不去重会重复计入 1,088 张发票、约 22.5 万英镑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F56E384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已在清洗环节整行去重，第二节口径表已注明</w:t>
            </w:r>
          </w:p>
        </w:tc>
      </w:tr>
    </w:tbl>
    <w:p w14:paraId="51A8B135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后续优先级按投入产出排：第一优先是补埋点数据（解决漏斗问题），第二是补活动标记（解决效果归因），第三是推动客户 ID 覆盖率（解决客户分析的分母问题）。在拿到这三类数据之前，客户分层与商品结构这两块已经做到当前数据能支撑的上限。</w:t>
      </w:r>
    </w:p>
    <w:p w14:paraId="4FA32967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35" w:name="section-13"/>
      <w:r>
        <w:rPr>
          <w:rFonts w:ascii="微软雅黑" w:eastAsia="微软雅黑" w:hAnsi="微软雅黑" w:cs="微软雅黑" w:hint="eastAsia"/>
          <w:color w:val="1A237E"/>
          <w:sz w:val="31"/>
        </w:rPr>
        <w:lastRenderedPageBreak/>
        <w:t>附录：分析产出清单</w:t>
      </w:r>
      <w:bookmarkEnd w:id="35"/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0D4EF888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1782484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产出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91DBC76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内容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4D3D2E8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规模</w:t>
            </w:r>
          </w:p>
        </w:tc>
      </w:tr>
      <w:tr w:rsidR="00B0100B" w14:paraId="641C86D1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9A1429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指标字典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A85464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名称 / 口径 / 统计范围 / 更新频率 / 来源表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5E5989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19 项</w:t>
            </w:r>
          </w:p>
        </w:tc>
      </w:tr>
      <w:tr w:rsidR="00B0100B" w14:paraId="2BC47DA5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56CDA3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周期指标表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BFC451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月度、周度运营指标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7F3B71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25 期 / 106 期</w:t>
            </w:r>
          </w:p>
        </w:tc>
      </w:tr>
      <w:tr w:rsidR="00B0100B" w14:paraId="5B6F9405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C14FFEE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客户宽表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CAB10E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RFM 七层 + 生命周期六阶段 + 价格带 + 批发标识 + 大促敏感 + 复购间隔 + 流失判定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9B40D5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5,861 行 × 20 字段</w:t>
            </w:r>
          </w:p>
        </w:tc>
      </w:tr>
      <w:tr w:rsidR="00B0100B" w14:paraId="2E3D0095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28E7B7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商品结构表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F23D43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ABC 分级、动销与滞销、集中度、品类结构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C91BE4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4,624 SKU</w:t>
            </w:r>
          </w:p>
        </w:tc>
      </w:tr>
      <w:tr w:rsidR="00B0100B" w14:paraId="5381EBBA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54C31D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关联规则表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721CE0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支持度 / 置信度 / lift 完整指标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6EA3F0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50 条规则</w:t>
            </w:r>
          </w:p>
        </w:tc>
      </w:tr>
      <w:tr w:rsidR="00B0100B" w14:paraId="7F5B208F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A3D312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流失风险名单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892DB2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 ID、沉默天数、历史价值、客群归属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4EDBC3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2,149 人</w:t>
            </w:r>
          </w:p>
        </w:tc>
      </w:tr>
      <w:tr w:rsidR="00B0100B" w14:paraId="3176E789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5FD1B3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召回测算表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A08E96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双场景成本收益，含假设参数标注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2EF4D5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 场景</w:t>
            </w:r>
          </w:p>
        </w:tc>
      </w:tr>
      <w:tr w:rsidR="00B0100B" w14:paraId="5FBDA4D0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99D3FF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Tableau 交付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0AB1B3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6 页仪表盘 + 6 点故事，固定 1600×900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F3F702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34 张工作表</w:t>
            </w:r>
          </w:p>
        </w:tc>
      </w:tr>
    </w:tbl>
    <w:p w14:paraId="09689EF3" w14:textId="77777777" w:rsidR="00B0100B" w:rsidRDefault="00117112">
      <w:pPr>
        <w:spacing w:before="24" w:after="204" w:line="420" w:lineRule="auto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</w:rPr>
        <w:t>注：本报告全部数字来自 UCI Online Retail II 数据集实算，口径以第二节定义为准；涉及成本、毛利与 ROI 的部分为按标注假设的参数模拟，非实测经营数据。</w:t>
      </w:r>
    </w:p>
    <w:sectPr w:rsidR="00B0100B">
      <w:footerReference w:type="default" r:id="rId1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EA03E" w14:textId="77777777" w:rsidR="002A16C6" w:rsidRDefault="002A16C6">
      <w:r>
        <w:separator/>
      </w:r>
    </w:p>
  </w:endnote>
  <w:endnote w:type="continuationSeparator" w:id="0">
    <w:p w14:paraId="327160F4" w14:textId="77777777" w:rsidR="002A16C6" w:rsidRDefault="002A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A0D1" w14:textId="77777777" w:rsidR="00546545" w:rsidRDefault="0054654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6910B" w14:textId="77777777" w:rsidR="00546545" w:rsidRDefault="0054654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EAF4D" w14:textId="77777777" w:rsidR="00546545" w:rsidRDefault="00546545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C348" w14:textId="77777777" w:rsidR="00B0100B" w:rsidRDefault="0011711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0047D" w14:textId="77777777" w:rsidR="002A16C6" w:rsidRDefault="002A16C6">
      <w:r>
        <w:separator/>
      </w:r>
    </w:p>
  </w:footnote>
  <w:footnote w:type="continuationSeparator" w:id="0">
    <w:p w14:paraId="3B104C9D" w14:textId="77777777" w:rsidR="002A16C6" w:rsidRDefault="002A1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1DD9" w14:textId="77777777" w:rsidR="00546545" w:rsidRDefault="0054654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95567" w14:textId="77777777" w:rsidR="00546545" w:rsidRDefault="0054654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049B" w14:textId="77777777" w:rsidR="00546545" w:rsidRDefault="0054654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63EA"/>
    <w:multiLevelType w:val="multilevel"/>
    <w:tmpl w:val="C43226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B732AE"/>
    <w:multiLevelType w:val="multilevel"/>
    <w:tmpl w:val="2D3CB612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3842768">
    <w:abstractNumId w:val="1"/>
  </w:num>
  <w:num w:numId="2" w16cid:durableId="106714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00B"/>
    <w:rsid w:val="00117112"/>
    <w:rsid w:val="00236CE4"/>
    <w:rsid w:val="002A16C6"/>
    <w:rsid w:val="00546545"/>
    <w:rsid w:val="00651BC3"/>
    <w:rsid w:val="00B0100B"/>
    <w:rsid w:val="00D2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2885B"/>
  <w15:docId w15:val="{FE25D82A-1B84-4D79-948B-6EBC199A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paragraph" w:styleId="3">
    <w:name w:val="heading 3"/>
    <w:uiPriority w:val="9"/>
    <w:qFormat/>
    <w:pPr>
      <w:keepNext/>
      <w:keepLines/>
      <w:spacing w:before="180" w:after="8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  <w:style w:type="paragraph" w:styleId="a3">
    <w:name w:val="header"/>
    <w:basedOn w:val="a"/>
    <w:link w:val="a4"/>
    <w:uiPriority w:val="99"/>
    <w:unhideWhenUsed/>
    <w:rsid w:val="00D27A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7A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7A9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7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7823</Words>
  <Characters>9468</Characters>
  <Application>Microsoft Office Word</Application>
  <DocSecurity>0</DocSecurity>
  <Lines>556</Lines>
  <Paragraphs>540</Paragraphs>
  <ScaleCrop>false</ScaleCrop>
  <Company/>
  <LinksUpToDate>false</LinksUpToDate>
  <CharactersWithSpaces>16751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繁星 柳</cp:lastModifiedBy>
  <cp:revision>3</cp:revision>
  <dcterms:created xsi:type="dcterms:W3CDTF">2026-10-26T09:31:00Z</dcterms:created>
  <dcterms:modified xsi:type="dcterms:W3CDTF">2026-10-26T01:32:00Z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"01a175d0b5b7728996e1543523010726", "ReservedCode1": "", "ContentPropagator": "00119111010856365494821B355", "PropagateID": "01a175d0b5b7728996e1543523010726", "ReservedCode2": ""}}</vt:lpwstr>
  </property>
</Properties>
</file>