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N"/>
        <w:spacing w:before="0" w:after="160" w:lineRule="auto" w:line="324"/>
        <w:jc w:val="center"/>
      </w:pPr>
      <w:r>
        <w:rPr>
          <w:rFonts w:ascii="Microsoft YaHei" w:hAnsi="Microsoft YaHei" w:eastAsia="Microsoft YaHei"/>
          <w:sz w:val="21"/>
        </w:rPr>
        <w:t>柯莱特公司现状与业务结构调研报告 V4</w:t>
      </w:r>
    </w:p>
    <w:p>
      <w:pPr>
        <w:pStyle w:val="SubtitleCN"/>
        <w:spacing w:after="280"/>
        <w:jc w:val="center"/>
      </w:pPr>
      <w:r>
        <w:rPr>
          <w:rFonts w:ascii="Microsoft YaHei" w:hAnsi="Microsoft YaHei" w:eastAsia="Microsoft YaHei"/>
          <w:color w:val="666666"/>
          <w:sz w:val="22"/>
        </w:rPr>
        <w:t>基于公开资料的综合研究版本 | 截至 2026 年 4 月 | 本版在 V3 分类框架基础上补齐公司概况、股权关系、财务、人员与参考资料</w:t>
      </w:r>
    </w:p>
    <w:tbl>
      <w:tblPr>
        <w:tblW w:type="auto" w:w="0"/>
        <w:jc w:val="center"/>
        <w:tblLayout w:type="fixed"/>
        <w:tblLook w:firstColumn="1" w:firstRow="1" w:lastColumn="0" w:lastRow="0" w:noHBand="0" w:noVBand="1" w:val="04A0"/>
      </w:tblPr>
      <w:tblGrid>
        <w:gridCol w:w="9071"/>
      </w:tblGrid>
      <w:tr>
        <w:tc>
          <w:tcPr>
            <w:tcW w:type="dxa" w:w="9412"/>
            <w:shd w:fill="EAF2F8"/>
            <w:vAlign w:val="center"/>
          </w:tcPr>
          <w:p>
            <w:pPr>
              <w:spacing w:after="0" w:before="0" w:lineRule="auto" w:line="283"/>
              <w:jc w:val="left"/>
            </w:pPr>
            <w:r/>
            <w:r>
              <w:rPr>
                <w:rFonts w:ascii="Microsoft YaHei" w:hAnsi="Microsoft YaHei" w:eastAsia="Microsoft YaHei"/>
                <w:b w:val="0"/>
                <w:sz w:val="18"/>
              </w:rPr>
              <w:t>使用说明：本报告仅依据公开资料整理，不包含付费工商数据库、内部经营数据、管理层访谈或客户访谈。对于“当前各业务线收入占比/人数占比”这类公司未公开披露的指标，报告采用“历史公开数据 + 当前官网业务边界 + 并表后母公司披露”的分析估计方式呈现，并在表格中明确标注为“分析估计”，不应理解为审计口径或管理层正式披露口径。</w:t>
            </w:r>
          </w:p>
        </w:tc>
      </w:tr>
    </w:tbl>
    <w:p/>
    <w:p>
      <w:pPr>
        <w:pStyle w:val="Heading1CN"/>
        <w:spacing w:before="0" w:after="120" w:lineRule="auto" w:line="324"/>
      </w:pPr>
      <w:r>
        <w:rPr>
          <w:rFonts w:ascii="Microsoft YaHei" w:hAnsi="Microsoft YaHei" w:eastAsia="Microsoft YaHei"/>
          <w:sz w:val="21"/>
        </w:rPr>
        <w:t>一、执行摘要</w:t>
      </w:r>
    </w:p>
    <w:p>
      <w:pPr>
        <w:pStyle w:val="BodyCN"/>
        <w:spacing w:after="80"/>
        <w:ind w:left="113" w:hanging="113"/>
      </w:pPr>
      <w:r>
        <w:rPr>
          <w:rFonts w:ascii="Microsoft YaHei" w:hAnsi="Microsoft YaHei" w:eastAsia="Microsoft YaHei"/>
          <w:sz w:val="20"/>
        </w:rPr>
        <w:t>• 柯莱特不是单纯的“SAP 实施公司”，也不是单纯的“信息技术外包公司”。更准确地说，它是一家以企业应用服务为底盘、以行业解决方案为增值、以跨区域交付资源池为支撑的企业信息技术服务公司。[R1][R2][R5][R10]</w:t>
      </w:r>
    </w:p>
    <w:p>
      <w:pPr>
        <w:pStyle w:val="BodyCN"/>
        <w:spacing w:after="80"/>
        <w:ind w:left="113" w:hanging="113"/>
      </w:pPr>
      <w:r>
        <w:rPr>
          <w:rFonts w:ascii="Microsoft YaHei" w:hAnsi="Microsoft YaHei" w:eastAsia="Microsoft YaHei"/>
          <w:sz w:val="20"/>
        </w:rPr>
        <w:t>• 从历史公开口径看，柯莱特最核心的两条收入主线是“企业应用服务”和“金融行业信息技术服务”。其中，企业应用服务在 2007—2010 年间收入占比为 67.3%—86.3%，金融行业信息技术服务占比为 13.7%—32.7%。[R10]</w:t>
      </w:r>
    </w:p>
    <w:p>
      <w:pPr>
        <w:pStyle w:val="BodyCN"/>
        <w:spacing w:after="80"/>
        <w:ind w:left="113" w:hanging="113"/>
      </w:pPr>
      <w:r>
        <w:rPr>
          <w:rFonts w:ascii="Microsoft YaHei" w:hAnsi="Microsoft YaHei" w:eastAsia="Microsoft YaHei"/>
          <w:sz w:val="20"/>
        </w:rPr>
        <w:t>• 从当前官网与公司介绍资料映射看，V4 版建议采用六条一级业务线：SAP/企业应用服务、金融解决方案、制造业解决方案、物流与供应链解决方案、通用数字化与上云项目、业务流程外包与运营支持；信息技术外包、离岸开发、运维支撑中心等不再单列为一级业务，而作为跨业务共享的交付资源层。[R1][R2][R3][R5]</w:t>
      </w:r>
    </w:p>
    <w:p>
      <w:pPr>
        <w:pStyle w:val="BodyCN"/>
        <w:spacing w:after="80"/>
        <w:ind w:left="113" w:hanging="113"/>
      </w:pPr>
      <w:r>
        <w:rPr>
          <w:rFonts w:ascii="Microsoft YaHei" w:hAnsi="Microsoft YaHei" w:eastAsia="Microsoft YaHei"/>
          <w:sz w:val="20"/>
        </w:rPr>
        <w:t>• 截至 2024 年报公开口径，柯莱特科技有限责任公司仍为金山云的间接非全资子公司，金山云间接持股比例为 92.23%，并非公开口径下的 100% 全资子公司。[R8]</w:t>
      </w:r>
    </w:p>
    <w:p>
      <w:pPr>
        <w:pStyle w:val="BodyCN"/>
        <w:spacing w:after="80"/>
        <w:ind w:left="113" w:hanging="113"/>
      </w:pPr>
      <w:r>
        <w:rPr>
          <w:rFonts w:ascii="Microsoft YaHei" w:hAnsi="Microsoft YaHei" w:eastAsia="Microsoft YaHei"/>
          <w:sz w:val="20"/>
        </w:rPr>
        <w:t>• 柯莱特并购前单体财务表现稳定：2019 年收入 16.476 亿元、净利润 1.098 亿元；2020 年收入 16.760 亿元、净利润 1.092 亿元；2021 年 1 月 1 日至 9 月 3 日收入 12.887 亿元、净利润 0.453 亿元。[R7]</w:t>
      </w:r>
    </w:p>
    <w:p>
      <w:pPr>
        <w:pStyle w:val="BodyCN"/>
        <w:spacing w:after="80"/>
        <w:ind w:left="113" w:hanging="113"/>
      </w:pPr>
      <w:r>
        <w:rPr>
          <w:rFonts w:ascii="Microsoft YaHei" w:hAnsi="Microsoft YaHei" w:eastAsia="Microsoft YaHei"/>
          <w:sz w:val="20"/>
        </w:rPr>
        <w:t>• 并表后，公开市场已很难获得柯莱特单体的独立财务报表。可作为观察窗口的是金山云企业云业务：2023 年企业云收入 26.640 亿元，2024 年 27.778 亿元，2025 年 29.251 亿元（2025 年为未经审计初步业绩）。[R12][R8][R9]</w:t>
      </w:r>
    </w:p>
    <w:p>
      <w:pPr>
        <w:pStyle w:val="BodyCN"/>
        <w:spacing w:after="80"/>
        <w:ind w:left="113" w:hanging="113"/>
      </w:pPr>
      <w:r>
        <w:rPr>
          <w:rFonts w:ascii="Microsoft YaHei" w:hAnsi="Microsoft YaHei" w:eastAsia="Microsoft YaHei"/>
          <w:sz w:val="20"/>
        </w:rPr>
        <w:t>• 人员结构上，最贴近柯莱特本体的披露是 2022 年 6 月 30 日 Camelot Group 共 8,028 人，其中 7,279 人、占 90.7% 属于解决方案开发及服务人员；并表后金山云集团截至 2025 年末共有 15,225 人，其中 12,947 人、占 85.0% 为解决方案开发及服务人员。[R6][R9]</w:t>
      </w:r>
    </w:p>
    <w:p>
      <w:pPr>
        <w:pStyle w:val="BodyCN"/>
        <w:spacing w:after="80"/>
        <w:ind w:left="113" w:hanging="113"/>
      </w:pPr>
      <w:r>
        <w:rPr>
          <w:rFonts w:ascii="Microsoft YaHei" w:hAnsi="Microsoft YaHei" w:eastAsia="Microsoft YaHei"/>
          <w:sz w:val="20"/>
        </w:rPr>
        <w:t>• 如果只问“这家公司现在在卖什么”，最简明的答案是：它卖的是企业核心系统建设与维护、行业业务系统解决方案，以及由大规模交付团队支撑的项目实施和持续运营服务。[R1][R2][R3][R5]</w:t>
      </w:r>
    </w:p>
    <w:p>
      <w:pPr>
        <w:pStyle w:val="Heading1CN"/>
        <w:spacing w:before="0" w:after="120" w:lineRule="auto" w:line="324"/>
      </w:pPr>
      <w:r>
        <w:rPr>
          <w:rFonts w:ascii="Microsoft YaHei" w:hAnsi="Microsoft YaHei" w:eastAsia="Microsoft YaHei"/>
          <w:sz w:val="21"/>
        </w:rPr>
        <w:t>二、研究边界、公司定位与股权关系</w:t>
      </w:r>
    </w:p>
    <w:p>
      <w:pPr>
        <w:pStyle w:val="BodyCN"/>
        <w:spacing w:before="0" w:after="120" w:lineRule="auto" w:line="324"/>
      </w:pPr>
      <w:r>
        <w:rPr>
          <w:rFonts w:ascii="Microsoft YaHei" w:hAnsi="Microsoft YaHei" w:eastAsia="Microsoft YaHei"/>
          <w:sz w:val="21"/>
        </w:rPr>
        <w:t>本报告的研究对象为“柯莱特”这一业务主体及其并入金山云后的公开可见业务轮廓。由于公司已于 2021 年并入金山云合并报表，公开市场自此不再持续披露柯莱特单体的完整财务报表，因此报告必须严格区分两类口径：其一是柯莱特并购前的独立历史数据；其二是并表后以金山云企业云业务或集团员工结构为观察窗口的口径。[R7][R8][R9]</w:t>
      </w:r>
    </w:p>
    <w:p>
      <w:pPr>
        <w:pStyle w:val="BodyCN"/>
        <w:spacing w:before="0" w:after="120" w:lineRule="auto" w:line="324"/>
      </w:pPr>
      <w:r>
        <w:rPr>
          <w:rFonts w:ascii="Microsoft YaHei" w:hAnsi="Microsoft YaHei" w:eastAsia="Microsoft YaHei"/>
          <w:sz w:val="21"/>
        </w:rPr>
        <w:t>按官方介绍，Camelot Technology Co., Ltd.（柯莱特科技有限责任公司）成立于北京，创立时间为 1994 年，长期扎根中国，面向大型企业提供企业信息技术服务、数字化解决方案与服务，以及围绕信息技术和数字平台的运维服务。[R1]</w:t>
      </w:r>
    </w:p>
    <w:p>
      <w:pPr>
        <w:pStyle w:val="BodyCN"/>
        <w:spacing w:before="0" w:after="120" w:lineRule="auto" w:line="324"/>
      </w:pPr>
      <w:r>
        <w:rPr>
          <w:rFonts w:ascii="Microsoft YaHei" w:hAnsi="Microsoft YaHei" w:eastAsia="Microsoft YaHei"/>
          <w:sz w:val="21"/>
        </w:rPr>
        <w:t>公司官网时间轴显示：柯莱特 2010 年在纽约证券交易所上市，2014 年完成私有化，2016 年开始向“以大型企业为重点的数字化全生态服务”转型，2018 年发展业务流程外包业务，2021 年被金山云取得控制性权益，2022 年公司名称变更为 Camelot Technology Co., Ltd.。[R1]</w:t>
      </w:r>
    </w:p>
    <w:p>
      <w:pPr>
        <w:pStyle w:val="BodyCN"/>
        <w:spacing w:before="0" w:after="120" w:lineRule="auto" w:line="324"/>
      </w:pPr>
      <w:r>
        <w:rPr>
          <w:rFonts w:ascii="Microsoft YaHei" w:hAnsi="Microsoft YaHei" w:eastAsia="Microsoft YaHei"/>
          <w:sz w:val="21"/>
        </w:rPr>
        <w:t>金山云在 2022 年香港上市文件中披露，其于 2021 年 9 月 3 日完成对 Camelot Group 的控制性收购；初始并购使金山云取得柯莱特科技 79.53% 股权。其后金山云继续收购少数股权，包括 3.19% 和 9.50% 两笔股权；截至 2024 年报口径，金山云对柯莱特科技的间接持股比例为 92.23%。因此，当前公开口径下更准确的表述是“金山云控股并并表柯莱特”，而不是“已完成 100% 全资收购”。[R6][R7][R8]</w:t>
      </w:r>
    </w:p>
    <w:p>
      <w:pPr>
        <w:pStyle w:val="Heading2CN"/>
        <w:spacing w:before="0" w:after="120" w:lineRule="auto" w:line="324"/>
      </w:pPr>
      <w:r>
        <w:rPr>
          <w:rFonts w:ascii="Microsoft YaHei" w:hAnsi="Microsoft YaHei" w:eastAsia="Microsoft YaHei"/>
          <w:sz w:val="21"/>
        </w:rPr>
        <w:t>2.1 公司关系与关键里程碑</w:t>
      </w:r>
    </w:p>
    <w:tbl>
      <w:tblPr>
        <w:tblW w:type="auto" w:w="0"/>
        <w:jc w:val="center"/>
        <w:tblLayout w:type="fixed"/>
        <w:tblLook w:firstColumn="1" w:firstRow="1" w:lastColumn="0" w:lastRow="0" w:noHBand="0" w:noVBand="1" w:val="04A0"/>
      </w:tblPr>
      <w:tblGrid>
        <w:gridCol w:w="1247"/>
        <w:gridCol w:w="2268"/>
        <w:gridCol w:w="3969"/>
        <w:gridCol w:w="1587"/>
      </w:tblGrid>
      <w:tr>
        <w:tc>
          <w:tcPr>
            <w:tcW w:type="dxa" w:w="2353"/>
            <w:vAlign w:val="center"/>
            <w:shd w:fill="4F81BD"/>
          </w:tcPr>
          <w:p>
            <w:pPr>
              <w:spacing w:after="0" w:before="0" w:lineRule="auto" w:line="283"/>
              <w:jc w:val="center"/>
            </w:pPr>
            <w:r/>
            <w:r>
              <w:rPr>
                <w:rFonts w:ascii="Microsoft YaHei" w:hAnsi="Microsoft YaHei" w:eastAsia="Microsoft YaHei"/>
                <w:b/>
                <w:color w:val="FFFFFF"/>
                <w:sz w:val="19"/>
              </w:rPr>
              <w:t>时间</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9"/>
              </w:rPr>
              <w:t>事件</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9"/>
              </w:rPr>
              <w:t>含义</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9"/>
              </w:rPr>
              <w:t>来源</w:t>
            </w:r>
          </w:p>
        </w:tc>
      </w:tr>
      <w:tr>
        <w:tc>
          <w:tcPr>
            <w:tcW w:type="dxa" w:w="1247"/>
            <w:vAlign w:val="center"/>
          </w:tcPr>
          <w:p>
            <w:pPr>
              <w:spacing w:after="0" w:before="0" w:lineRule="auto" w:line="283"/>
              <w:jc w:val="center"/>
            </w:pPr>
            <w:r/>
            <w:r>
              <w:rPr>
                <w:rFonts w:ascii="Microsoft YaHei" w:hAnsi="Microsoft YaHei" w:eastAsia="Microsoft YaHei"/>
                <w:b w:val="0"/>
                <w:sz w:val="18"/>
              </w:rPr>
              <w:t>1994</w:t>
            </w:r>
          </w:p>
        </w:tc>
        <w:tc>
          <w:tcPr>
            <w:tcW w:type="dxa" w:w="2268"/>
            <w:vAlign w:val="center"/>
          </w:tcPr>
          <w:p>
            <w:pPr>
              <w:spacing w:after="0" w:before="0" w:lineRule="auto" w:line="283"/>
              <w:jc w:val="left"/>
            </w:pPr>
            <w:r/>
            <w:r>
              <w:rPr>
                <w:rFonts w:ascii="Microsoft YaHei" w:hAnsi="Microsoft YaHei" w:eastAsia="Microsoft YaHei"/>
                <w:b w:val="0"/>
                <w:sz w:val="18"/>
              </w:rPr>
              <w:t>北京成立</w:t>
            </w:r>
          </w:p>
        </w:tc>
        <w:tc>
          <w:tcPr>
            <w:tcW w:type="dxa" w:w="3969"/>
            <w:vAlign w:val="center"/>
          </w:tcPr>
          <w:p>
            <w:pPr>
              <w:spacing w:after="0" w:before="0" w:lineRule="auto" w:line="283"/>
              <w:jc w:val="left"/>
            </w:pPr>
            <w:r/>
            <w:r>
              <w:rPr>
                <w:rFonts w:ascii="Microsoft YaHei" w:hAnsi="Microsoft YaHei" w:eastAsia="Microsoft YaHei"/>
                <w:b w:val="0"/>
                <w:sz w:val="18"/>
              </w:rPr>
              <w:t>柯莱特正式成立，开始为大型企业提供信息技术服务。</w:t>
            </w:r>
          </w:p>
        </w:tc>
        <w:tc>
          <w:tcPr>
            <w:tcW w:type="dxa" w:w="1587"/>
            <w:vAlign w:val="center"/>
          </w:tcPr>
          <w:p>
            <w:pPr>
              <w:spacing w:after="0" w:before="0" w:lineRule="auto" w:line="283"/>
              <w:jc w:val="center"/>
            </w:pPr>
            <w:r/>
            <w:r>
              <w:rPr>
                <w:rFonts w:ascii="Microsoft YaHei" w:hAnsi="Microsoft YaHei" w:eastAsia="Microsoft YaHei"/>
                <w:b w:val="0"/>
                <w:sz w:val="18"/>
              </w:rPr>
              <w:t>[R1]</w:t>
            </w:r>
          </w:p>
        </w:tc>
      </w:tr>
      <w:tr>
        <w:tc>
          <w:tcPr>
            <w:tcW w:type="dxa" w:w="1247"/>
            <w:vAlign w:val="center"/>
          </w:tcPr>
          <w:p>
            <w:pPr>
              <w:spacing w:after="0" w:before="0" w:lineRule="auto" w:line="283"/>
              <w:jc w:val="center"/>
            </w:pPr>
            <w:r/>
            <w:r>
              <w:rPr>
                <w:rFonts w:ascii="Microsoft YaHei" w:hAnsi="Microsoft YaHei" w:eastAsia="Microsoft YaHei"/>
                <w:b w:val="0"/>
                <w:sz w:val="18"/>
              </w:rPr>
              <w:t>2010</w:t>
            </w:r>
          </w:p>
        </w:tc>
        <w:tc>
          <w:tcPr>
            <w:tcW w:type="dxa" w:w="2268"/>
            <w:vAlign w:val="center"/>
          </w:tcPr>
          <w:p>
            <w:pPr>
              <w:spacing w:after="0" w:before="0" w:lineRule="auto" w:line="283"/>
              <w:jc w:val="left"/>
            </w:pPr>
            <w:r/>
            <w:r>
              <w:rPr>
                <w:rFonts w:ascii="Microsoft YaHei" w:hAnsi="Microsoft YaHei" w:eastAsia="Microsoft YaHei"/>
                <w:b w:val="0"/>
                <w:sz w:val="18"/>
              </w:rPr>
              <w:t>纽交所上市</w:t>
            </w:r>
          </w:p>
        </w:tc>
        <w:tc>
          <w:tcPr>
            <w:tcW w:type="dxa" w:w="3969"/>
            <w:vAlign w:val="center"/>
          </w:tcPr>
          <w:p>
            <w:pPr>
              <w:spacing w:after="0" w:before="0" w:lineRule="auto" w:line="283"/>
              <w:jc w:val="left"/>
            </w:pPr>
            <w:r/>
            <w:r>
              <w:rPr>
                <w:rFonts w:ascii="Microsoft YaHei" w:hAnsi="Microsoft YaHei" w:eastAsia="Microsoft YaHei"/>
                <w:b w:val="0"/>
                <w:sz w:val="18"/>
              </w:rPr>
              <w:t>标志公司以企业应用服务和金融 IT 服务为核心进入资本市场。</w:t>
            </w:r>
          </w:p>
        </w:tc>
        <w:tc>
          <w:tcPr>
            <w:tcW w:type="dxa" w:w="1587"/>
            <w:vAlign w:val="center"/>
          </w:tcPr>
          <w:p>
            <w:pPr>
              <w:spacing w:after="0" w:before="0" w:lineRule="auto" w:line="283"/>
              <w:jc w:val="center"/>
            </w:pPr>
            <w:r/>
            <w:r>
              <w:rPr>
                <w:rFonts w:ascii="Microsoft YaHei" w:hAnsi="Microsoft YaHei" w:eastAsia="Microsoft YaHei"/>
                <w:b w:val="0"/>
                <w:sz w:val="18"/>
              </w:rPr>
              <w:t>[R1][R10]</w:t>
            </w:r>
          </w:p>
        </w:tc>
      </w:tr>
      <w:tr>
        <w:tc>
          <w:tcPr>
            <w:tcW w:type="dxa" w:w="1247"/>
            <w:vAlign w:val="center"/>
          </w:tcPr>
          <w:p>
            <w:pPr>
              <w:spacing w:after="0" w:before="0" w:lineRule="auto" w:line="283"/>
              <w:jc w:val="center"/>
            </w:pPr>
            <w:r/>
            <w:r>
              <w:rPr>
                <w:rFonts w:ascii="Microsoft YaHei" w:hAnsi="Microsoft YaHei" w:eastAsia="Microsoft YaHei"/>
                <w:b w:val="0"/>
                <w:sz w:val="18"/>
              </w:rPr>
              <w:t>2014</w:t>
            </w:r>
          </w:p>
        </w:tc>
        <w:tc>
          <w:tcPr>
            <w:tcW w:type="dxa" w:w="2268"/>
            <w:vAlign w:val="center"/>
          </w:tcPr>
          <w:p>
            <w:pPr>
              <w:spacing w:after="0" w:before="0" w:lineRule="auto" w:line="283"/>
              <w:jc w:val="left"/>
            </w:pPr>
            <w:r/>
            <w:r>
              <w:rPr>
                <w:rFonts w:ascii="Microsoft YaHei" w:hAnsi="Microsoft YaHei" w:eastAsia="Microsoft YaHei"/>
                <w:b w:val="0"/>
                <w:sz w:val="18"/>
              </w:rPr>
              <w:t>完成私有化</w:t>
            </w:r>
          </w:p>
        </w:tc>
        <w:tc>
          <w:tcPr>
            <w:tcW w:type="dxa" w:w="3969"/>
            <w:vAlign w:val="center"/>
          </w:tcPr>
          <w:p>
            <w:pPr>
              <w:spacing w:after="0" w:before="0" w:lineRule="auto" w:line="283"/>
              <w:jc w:val="left"/>
            </w:pPr>
            <w:r/>
            <w:r>
              <w:rPr>
                <w:rFonts w:ascii="Microsoft YaHei" w:hAnsi="Microsoft YaHei" w:eastAsia="Microsoft YaHei"/>
                <w:b w:val="0"/>
                <w:sz w:val="18"/>
              </w:rPr>
              <w:t>公司从美股退市，进入新的业务调整阶段。</w:t>
            </w:r>
          </w:p>
        </w:tc>
        <w:tc>
          <w:tcPr>
            <w:tcW w:type="dxa" w:w="1587"/>
            <w:vAlign w:val="center"/>
          </w:tcPr>
          <w:p>
            <w:pPr>
              <w:spacing w:after="0" w:before="0" w:lineRule="auto" w:line="283"/>
              <w:jc w:val="center"/>
            </w:pPr>
            <w:r/>
            <w:r>
              <w:rPr>
                <w:rFonts w:ascii="Microsoft YaHei" w:hAnsi="Microsoft YaHei" w:eastAsia="Microsoft YaHei"/>
                <w:b w:val="0"/>
                <w:sz w:val="18"/>
              </w:rPr>
              <w:t>[R1]</w:t>
            </w:r>
          </w:p>
        </w:tc>
      </w:tr>
      <w:tr>
        <w:tc>
          <w:tcPr>
            <w:tcW w:type="dxa" w:w="1247"/>
            <w:vAlign w:val="center"/>
          </w:tcPr>
          <w:p>
            <w:pPr>
              <w:spacing w:after="0" w:before="0" w:lineRule="auto" w:line="283"/>
              <w:jc w:val="center"/>
            </w:pPr>
            <w:r/>
            <w:r>
              <w:rPr>
                <w:rFonts w:ascii="Microsoft YaHei" w:hAnsi="Microsoft YaHei" w:eastAsia="Microsoft YaHei"/>
                <w:b w:val="0"/>
                <w:sz w:val="18"/>
              </w:rPr>
              <w:t>2021.09</w:t>
            </w:r>
          </w:p>
        </w:tc>
        <w:tc>
          <w:tcPr>
            <w:tcW w:type="dxa" w:w="2268"/>
            <w:vAlign w:val="center"/>
          </w:tcPr>
          <w:p>
            <w:pPr>
              <w:spacing w:after="0" w:before="0" w:lineRule="auto" w:line="283"/>
              <w:jc w:val="left"/>
            </w:pPr>
            <w:r/>
            <w:r>
              <w:rPr>
                <w:rFonts w:ascii="Microsoft YaHei" w:hAnsi="Microsoft YaHei" w:eastAsia="Microsoft YaHei"/>
                <w:b w:val="0"/>
                <w:sz w:val="18"/>
              </w:rPr>
              <w:t>金山云取得控制权</w:t>
            </w:r>
          </w:p>
        </w:tc>
        <w:tc>
          <w:tcPr>
            <w:tcW w:type="dxa" w:w="3969"/>
            <w:vAlign w:val="center"/>
          </w:tcPr>
          <w:p>
            <w:pPr>
              <w:spacing w:after="0" w:before="0" w:lineRule="auto" w:line="283"/>
              <w:jc w:val="left"/>
            </w:pPr>
            <w:r/>
            <w:r>
              <w:rPr>
                <w:rFonts w:ascii="Microsoft YaHei" w:hAnsi="Microsoft YaHei" w:eastAsia="Microsoft YaHei"/>
                <w:b w:val="0"/>
                <w:sz w:val="18"/>
              </w:rPr>
              <w:t>金山云完成 Camelot Merger，柯莱特并入金山云合并报表。</w:t>
            </w:r>
          </w:p>
        </w:tc>
        <w:tc>
          <w:tcPr>
            <w:tcW w:type="dxa" w:w="1587"/>
            <w:vAlign w:val="center"/>
          </w:tcPr>
          <w:p>
            <w:pPr>
              <w:spacing w:after="0" w:before="0" w:lineRule="auto" w:line="283"/>
              <w:jc w:val="center"/>
            </w:pPr>
            <w:r/>
            <w:r>
              <w:rPr>
                <w:rFonts w:ascii="Microsoft YaHei" w:hAnsi="Microsoft YaHei" w:eastAsia="Microsoft YaHei"/>
                <w:b w:val="0"/>
                <w:sz w:val="18"/>
              </w:rPr>
              <w:t>[R6][R7]</w:t>
            </w:r>
          </w:p>
        </w:tc>
      </w:tr>
      <w:tr>
        <w:tc>
          <w:tcPr>
            <w:tcW w:type="dxa" w:w="1247"/>
            <w:vAlign w:val="center"/>
          </w:tcPr>
          <w:p>
            <w:pPr>
              <w:spacing w:after="0" w:before="0" w:lineRule="auto" w:line="283"/>
              <w:jc w:val="center"/>
            </w:pPr>
            <w:r/>
            <w:r>
              <w:rPr>
                <w:rFonts w:ascii="Microsoft YaHei" w:hAnsi="Microsoft YaHei" w:eastAsia="Microsoft YaHei"/>
                <w:b w:val="0"/>
                <w:sz w:val="18"/>
              </w:rPr>
              <w:t>2022</w:t>
            </w:r>
          </w:p>
        </w:tc>
        <w:tc>
          <w:tcPr>
            <w:tcW w:type="dxa" w:w="2268"/>
            <w:vAlign w:val="center"/>
          </w:tcPr>
          <w:p>
            <w:pPr>
              <w:spacing w:after="0" w:before="0" w:lineRule="auto" w:line="283"/>
              <w:jc w:val="left"/>
            </w:pPr>
            <w:r/>
            <w:r>
              <w:rPr>
                <w:rFonts w:ascii="Microsoft YaHei" w:hAnsi="Microsoft YaHei" w:eastAsia="Microsoft YaHei"/>
                <w:b w:val="0"/>
                <w:sz w:val="18"/>
              </w:rPr>
              <w:t>更名为 Camelot Technology Co., Ltd.</w:t>
            </w:r>
          </w:p>
        </w:tc>
        <w:tc>
          <w:tcPr>
            <w:tcW w:type="dxa" w:w="3969"/>
            <w:vAlign w:val="center"/>
          </w:tcPr>
          <w:p>
            <w:pPr>
              <w:spacing w:after="0" w:before="0" w:lineRule="auto" w:line="283"/>
              <w:jc w:val="left"/>
            </w:pPr>
            <w:r/>
            <w:r>
              <w:rPr>
                <w:rFonts w:ascii="Microsoft YaHei" w:hAnsi="Microsoft YaHei" w:eastAsia="Microsoft YaHei"/>
                <w:b w:val="0"/>
                <w:sz w:val="18"/>
              </w:rPr>
              <w:t>官网明确写明公司名称变更，业务与管理团队总体保持稳定。</w:t>
            </w:r>
          </w:p>
        </w:tc>
        <w:tc>
          <w:tcPr>
            <w:tcW w:type="dxa" w:w="1587"/>
            <w:vAlign w:val="center"/>
          </w:tcPr>
          <w:p>
            <w:pPr>
              <w:spacing w:after="0" w:before="0" w:lineRule="auto" w:line="283"/>
              <w:jc w:val="center"/>
            </w:pPr>
            <w:r/>
            <w:r>
              <w:rPr>
                <w:rFonts w:ascii="Microsoft YaHei" w:hAnsi="Microsoft YaHei" w:eastAsia="Microsoft YaHei"/>
                <w:b w:val="0"/>
                <w:sz w:val="18"/>
              </w:rPr>
              <w:t>[R1]</w:t>
            </w:r>
          </w:p>
        </w:tc>
      </w:tr>
      <w:tr>
        <w:tc>
          <w:tcPr>
            <w:tcW w:type="dxa" w:w="1247"/>
            <w:vAlign w:val="center"/>
          </w:tcPr>
          <w:p>
            <w:pPr>
              <w:spacing w:after="0" w:before="0" w:lineRule="auto" w:line="283"/>
              <w:jc w:val="center"/>
            </w:pPr>
            <w:r/>
            <w:r>
              <w:rPr>
                <w:rFonts w:ascii="Microsoft YaHei" w:hAnsi="Microsoft YaHei" w:eastAsia="Microsoft YaHei"/>
                <w:b w:val="0"/>
                <w:sz w:val="18"/>
              </w:rPr>
              <w:t>2024 年报口径</w:t>
            </w:r>
          </w:p>
        </w:tc>
        <w:tc>
          <w:tcPr>
            <w:tcW w:type="dxa" w:w="2268"/>
            <w:vAlign w:val="center"/>
          </w:tcPr>
          <w:p>
            <w:pPr>
              <w:spacing w:after="0" w:before="0" w:lineRule="auto" w:line="283"/>
              <w:jc w:val="left"/>
            </w:pPr>
            <w:r/>
            <w:r>
              <w:rPr>
                <w:rFonts w:ascii="Microsoft YaHei" w:hAnsi="Microsoft YaHei" w:eastAsia="Microsoft YaHei"/>
                <w:b w:val="0"/>
                <w:sz w:val="18"/>
              </w:rPr>
              <w:t>金山云间接持股 92.23%</w:t>
            </w:r>
          </w:p>
        </w:tc>
        <w:tc>
          <w:tcPr>
            <w:tcW w:type="dxa" w:w="3969"/>
            <w:vAlign w:val="center"/>
          </w:tcPr>
          <w:p>
            <w:pPr>
              <w:spacing w:after="0" w:before="0" w:lineRule="auto" w:line="283"/>
              <w:jc w:val="left"/>
            </w:pPr>
            <w:r/>
            <w:r>
              <w:rPr>
                <w:rFonts w:ascii="Microsoft YaHei" w:hAnsi="Microsoft YaHei" w:eastAsia="Microsoft YaHei"/>
                <w:b w:val="0"/>
                <w:sz w:val="18"/>
              </w:rPr>
              <w:t>公开口径下仍为间接非全资子公司。</w:t>
            </w:r>
          </w:p>
        </w:tc>
        <w:tc>
          <w:tcPr>
            <w:tcW w:type="dxa" w:w="1587"/>
            <w:vAlign w:val="center"/>
          </w:tcPr>
          <w:p>
            <w:pPr>
              <w:spacing w:after="0" w:before="0" w:lineRule="auto" w:line="283"/>
              <w:jc w:val="center"/>
            </w:pPr>
            <w:r/>
            <w:r>
              <w:rPr>
                <w:rFonts w:ascii="Microsoft YaHei" w:hAnsi="Microsoft YaHei" w:eastAsia="Microsoft YaHei"/>
                <w:b w:val="0"/>
                <w:sz w:val="18"/>
              </w:rPr>
              <w:t>[R8]</w:t>
            </w:r>
          </w:p>
        </w:tc>
      </w:tr>
    </w:tbl>
    <w:p/>
    <w:p>
      <w:pPr>
        <w:pStyle w:val="Heading1CN"/>
        <w:spacing w:before="0" w:after="120" w:lineRule="auto" w:line="324"/>
      </w:pPr>
      <w:r>
        <w:rPr>
          <w:rFonts w:ascii="Microsoft YaHei" w:hAnsi="Microsoft YaHei" w:eastAsia="Microsoft YaHei"/>
          <w:sz w:val="21"/>
        </w:rPr>
        <w:t>三、业务结构总览（V4 最终采用分类）</w:t>
      </w:r>
    </w:p>
    <w:p>
      <w:pPr>
        <w:pStyle w:val="BodyCN"/>
        <w:spacing w:before="0" w:after="120" w:lineRule="auto" w:line="324"/>
      </w:pPr>
      <w:r>
        <w:rPr>
          <w:rFonts w:ascii="Microsoft YaHei" w:hAnsi="Microsoft YaHei" w:eastAsia="Microsoft YaHei"/>
          <w:sz w:val="21"/>
        </w:rPr>
        <w:t>V4 延续 V3 的分类原则：一级分类只按“客户最终采购的业务内容”来划分，不再把“信息技术外包、离岸开发中心、现场/近岸/离岸交付、应用维护团队”等交付方式与业务内容并列。这样做的原因是，同一批交付资源可能同时服务于 SAP 项目、金融项目、制造项目和物流项目；如果把交付方式和业务内容放在同一层，分类必然重叠。[R1][R2][R6]</w:t>
      </w:r>
    </w:p>
    <w:p>
      <w:pPr>
        <w:pStyle w:val="BodyCN"/>
        <w:spacing w:before="0" w:after="120" w:lineRule="auto" w:line="324"/>
      </w:pPr>
      <w:r>
        <w:rPr>
          <w:rFonts w:ascii="Microsoft YaHei" w:hAnsi="Microsoft YaHei" w:eastAsia="Microsoft YaHei"/>
          <w:sz w:val="21"/>
        </w:rPr>
        <w:t>因此，V4 采用六条一级业务线：① SAP / 企业应用服务；② 金融解决方案；③ 制造业解决方案；④ 物流与供应链解决方案；⑤ 通用数字化与上云项目；⑥ 业务流程外包与运营支持。与此同时，信息技术外包、离岸开发、应用维护支持中心、现场/近岸/离岸组合交付，被统一放入“资源层/交付层”解释，而不再单列为一级业务。[R1][R2][R3][R5]</w:t>
      </w:r>
    </w:p>
    <w:p>
      <w:pPr>
        <w:pStyle w:val="Heading2CN"/>
        <w:spacing w:before="0" w:after="120" w:lineRule="auto" w:line="324"/>
      </w:pPr>
      <w:r>
        <w:rPr>
          <w:rFonts w:ascii="Microsoft YaHei" w:hAnsi="Microsoft YaHei" w:eastAsia="Microsoft YaHei"/>
          <w:sz w:val="21"/>
        </w:rPr>
        <w:t>3.1 六条一级业务线总表（含当前占比分析估计）</w:t>
      </w:r>
    </w:p>
    <w:p>
      <w:pPr>
        <w:pStyle w:val="SmallCN"/>
        <w:spacing w:before="0" w:after="80" w:lineRule="auto" w:line="324"/>
      </w:pPr>
      <w:r>
        <w:rPr>
          <w:rFonts w:ascii="Microsoft YaHei" w:hAnsi="Microsoft YaHei" w:eastAsia="Microsoft YaHei"/>
          <w:color w:val="6E6E6E"/>
          <w:sz w:val="18"/>
        </w:rPr>
        <w:t>注：下表中的“当前收入占比估计”和“当前人员占比估计”均为分析估计，不是公司公开披露数字；估计依据写在最后一列。</w:t>
      </w:r>
    </w:p>
    <w:tbl>
      <w:tblPr>
        <w:tblW w:type="auto" w:w="0"/>
        <w:jc w:val="center"/>
        <w:tblLayout w:type="fixed"/>
        <w:tblLook w:firstColumn="1" w:firstRow="1" w:lastColumn="0" w:lastRow="0" w:noHBand="0" w:noVBand="1" w:val="04A0"/>
      </w:tblPr>
      <w:tblGrid>
        <w:gridCol w:w="1814"/>
        <w:gridCol w:w="2381"/>
        <w:gridCol w:w="1247"/>
        <w:gridCol w:w="1247"/>
        <w:gridCol w:w="2721"/>
        <w:gridCol w:w="1020"/>
      </w:tblGrid>
      <w:tr>
        <w:tc>
          <w:tcPr>
            <w:tcW w:type="dxa" w:w="1569"/>
            <w:vAlign w:val="center"/>
            <w:shd w:fill="4F81BD"/>
          </w:tcPr>
          <w:p>
            <w:pPr>
              <w:spacing w:after="0" w:before="0" w:lineRule="auto" w:line="283"/>
              <w:jc w:val="center"/>
            </w:pPr>
            <w:r/>
            <w:r>
              <w:rPr>
                <w:rFonts w:ascii="Microsoft YaHei" w:hAnsi="Microsoft YaHei" w:eastAsia="Microsoft YaHei"/>
                <w:b/>
                <w:color w:val="FFFFFF"/>
                <w:sz w:val="18"/>
              </w:rPr>
              <w:t>一级业务线</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业务定义</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当前收入占比</w:t>
              <w:br/>
              <w:t>分析估计</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当前人员占比</w:t>
              <w:br/>
              <w:t>分析估计</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估计依据（摘要）</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来源</w:t>
            </w:r>
          </w:p>
        </w:tc>
      </w:tr>
      <w:tr>
        <w:tc>
          <w:tcPr>
            <w:tcW w:type="dxa" w:w="1814"/>
            <w:vAlign w:val="center"/>
          </w:tcPr>
          <w:p>
            <w:pPr>
              <w:spacing w:after="0" w:before="0" w:lineRule="auto" w:line="283"/>
              <w:jc w:val="left"/>
            </w:pPr>
            <w:r/>
            <w:r>
              <w:rPr>
                <w:rFonts w:ascii="Microsoft YaHei" w:hAnsi="Microsoft YaHei" w:eastAsia="Microsoft YaHei"/>
                <w:b w:val="0"/>
                <w:sz w:val="18"/>
              </w:rPr>
              <w:t>SAP / 企业应用服务</w:t>
            </w:r>
          </w:p>
        </w:tc>
        <w:tc>
          <w:tcPr>
            <w:tcW w:type="dxa" w:w="2381"/>
            <w:vAlign w:val="center"/>
          </w:tcPr>
          <w:p>
            <w:pPr>
              <w:spacing w:after="0" w:before="0" w:lineRule="auto" w:line="283"/>
              <w:jc w:val="left"/>
            </w:pPr>
            <w:r/>
            <w:r>
              <w:rPr>
                <w:rFonts w:ascii="Microsoft YaHei" w:hAnsi="Microsoft YaHei" w:eastAsia="Microsoft YaHei"/>
                <w:b w:val="0"/>
                <w:sz w:val="18"/>
              </w:rPr>
              <w:t>围绕 SAP/ERP 和企业应用系统提供顾问、实施、开发、迁移、升级、运维与应用管理服务。</w:t>
            </w:r>
          </w:p>
        </w:tc>
        <w:tc>
          <w:tcPr>
            <w:tcW w:type="dxa" w:w="1247"/>
            <w:vAlign w:val="center"/>
          </w:tcPr>
          <w:p>
            <w:pPr>
              <w:spacing w:after="0" w:before="0" w:lineRule="auto" w:line="283"/>
              <w:jc w:val="center"/>
            </w:pPr>
            <w:r/>
            <w:r>
              <w:rPr>
                <w:rFonts w:ascii="Microsoft YaHei" w:hAnsi="Microsoft YaHei" w:eastAsia="Microsoft YaHei"/>
                <w:b w:val="0"/>
                <w:sz w:val="18"/>
              </w:rPr>
              <w:t>45%—55%</w:t>
            </w:r>
          </w:p>
        </w:tc>
        <w:tc>
          <w:tcPr>
            <w:tcW w:type="dxa" w:w="1247"/>
            <w:vAlign w:val="center"/>
          </w:tcPr>
          <w:p>
            <w:pPr>
              <w:spacing w:after="0" w:before="0" w:lineRule="auto" w:line="283"/>
              <w:jc w:val="center"/>
            </w:pPr>
            <w:r/>
            <w:r>
              <w:rPr>
                <w:rFonts w:ascii="Microsoft YaHei" w:hAnsi="Microsoft YaHei" w:eastAsia="Microsoft YaHei"/>
                <w:b w:val="0"/>
                <w:sz w:val="18"/>
              </w:rPr>
              <w:t>45%—55%</w:t>
            </w:r>
          </w:p>
        </w:tc>
        <w:tc>
          <w:tcPr>
            <w:tcW w:type="dxa" w:w="2721"/>
            <w:vAlign w:val="center"/>
          </w:tcPr>
          <w:p>
            <w:pPr>
              <w:spacing w:after="0" w:before="0" w:lineRule="auto" w:line="283"/>
              <w:jc w:val="left"/>
            </w:pPr>
            <w:r/>
            <w:r>
              <w:rPr>
                <w:rFonts w:ascii="Microsoft YaHei" w:hAnsi="Microsoft YaHei" w:eastAsia="Microsoft YaHei"/>
                <w:b w:val="0"/>
                <w:sz w:val="18"/>
              </w:rPr>
              <w:t>历史“企业应用服务”口径占比曾达 67.3%—86.3%；当前官网仍保留 ERP 应用实施、系统迁移、云上应用迁移与企业应用维护，说明该线仍是核心底盘，但考虑到行业解决方案与 BPO 等业务扩展，当前占比应低于历史峰值。</w:t>
            </w:r>
          </w:p>
        </w:tc>
        <w:tc>
          <w:tcPr>
            <w:tcW w:type="dxa" w:w="1020"/>
            <w:vAlign w:val="center"/>
          </w:tcPr>
          <w:p>
            <w:pPr>
              <w:spacing w:after="0" w:before="0" w:lineRule="auto" w:line="283"/>
              <w:jc w:val="center"/>
            </w:pPr>
            <w:r/>
            <w:r>
              <w:rPr>
                <w:rFonts w:ascii="Microsoft YaHei" w:hAnsi="Microsoft YaHei" w:eastAsia="Microsoft YaHei"/>
                <w:b w:val="0"/>
                <w:sz w:val="18"/>
              </w:rPr>
              <w:t>[R2][R3][R10]</w:t>
            </w:r>
          </w:p>
        </w:tc>
      </w:tr>
      <w:tr>
        <w:tc>
          <w:tcPr>
            <w:tcW w:type="dxa" w:w="1814"/>
            <w:vAlign w:val="center"/>
          </w:tcPr>
          <w:p>
            <w:pPr>
              <w:spacing w:after="0" w:before="0" w:lineRule="auto" w:line="283"/>
              <w:jc w:val="left"/>
            </w:pPr>
            <w:r/>
            <w:r>
              <w:rPr>
                <w:rFonts w:ascii="Microsoft YaHei" w:hAnsi="Microsoft YaHei" w:eastAsia="Microsoft YaHei"/>
                <w:b w:val="0"/>
                <w:sz w:val="18"/>
              </w:rPr>
              <w:t>金融解决方案</w:t>
            </w:r>
          </w:p>
        </w:tc>
        <w:tc>
          <w:tcPr>
            <w:tcW w:type="dxa" w:w="2381"/>
            <w:vAlign w:val="center"/>
          </w:tcPr>
          <w:p>
            <w:pPr>
              <w:spacing w:after="0" w:before="0" w:lineRule="auto" w:line="283"/>
              <w:jc w:val="left"/>
            </w:pPr>
            <w:r/>
            <w:r>
              <w:rPr>
                <w:rFonts w:ascii="Microsoft YaHei" w:hAnsi="Microsoft YaHei" w:eastAsia="Microsoft YaHei"/>
                <w:b w:val="0"/>
                <w:sz w:val="18"/>
              </w:rPr>
              <w:t>围绕银行及金融机构的关键业务系统、合规风控系统和支持运营，提供系统方案、系统支持与 IT 咨询。</w:t>
            </w:r>
          </w:p>
        </w:tc>
        <w:tc>
          <w:tcPr>
            <w:tcW w:type="dxa" w:w="1247"/>
            <w:vAlign w:val="center"/>
          </w:tcPr>
          <w:p>
            <w:pPr>
              <w:spacing w:after="0" w:before="0" w:lineRule="auto" w:line="283"/>
              <w:jc w:val="center"/>
            </w:pPr>
            <w:r/>
            <w:r>
              <w:rPr>
                <w:rFonts w:ascii="Microsoft YaHei" w:hAnsi="Microsoft YaHei" w:eastAsia="Microsoft YaHei"/>
                <w:b w:val="0"/>
                <w:sz w:val="18"/>
              </w:rPr>
              <w:t>15%—25%</w:t>
            </w:r>
          </w:p>
        </w:tc>
        <w:tc>
          <w:tcPr>
            <w:tcW w:type="dxa" w:w="1247"/>
            <w:vAlign w:val="center"/>
          </w:tcPr>
          <w:p>
            <w:pPr>
              <w:spacing w:after="0" w:before="0" w:lineRule="auto" w:line="283"/>
              <w:jc w:val="center"/>
            </w:pPr>
            <w:r/>
            <w:r>
              <w:rPr>
                <w:rFonts w:ascii="Microsoft YaHei" w:hAnsi="Microsoft YaHei" w:eastAsia="Microsoft YaHei"/>
                <w:b w:val="0"/>
                <w:sz w:val="18"/>
              </w:rPr>
              <w:t>15%—20%</w:t>
            </w:r>
          </w:p>
        </w:tc>
        <w:tc>
          <w:tcPr>
            <w:tcW w:type="dxa" w:w="2721"/>
            <w:vAlign w:val="center"/>
          </w:tcPr>
          <w:p>
            <w:pPr>
              <w:spacing w:after="0" w:before="0" w:lineRule="auto" w:line="283"/>
              <w:jc w:val="left"/>
            </w:pPr>
            <w:r/>
            <w:r>
              <w:rPr>
                <w:rFonts w:ascii="Microsoft YaHei" w:hAnsi="Microsoft YaHei" w:eastAsia="Microsoft YaHei"/>
                <w:b w:val="0"/>
                <w:sz w:val="18"/>
              </w:rPr>
              <w:t>历史“金融行业信息技术服务”口径占比为 13.7%—32.7%；公司介绍材料仍将反洗钱、风险监测、监管报送、风险审计列为重点方案，说明金融仍是第二条核心主线。</w:t>
            </w:r>
          </w:p>
        </w:tc>
        <w:tc>
          <w:tcPr>
            <w:tcW w:type="dxa" w:w="1020"/>
            <w:vAlign w:val="center"/>
          </w:tcPr>
          <w:p>
            <w:pPr>
              <w:spacing w:after="0" w:before="0" w:lineRule="auto" w:line="283"/>
              <w:jc w:val="center"/>
            </w:pPr>
            <w:r/>
            <w:r>
              <w:rPr>
                <w:rFonts w:ascii="Microsoft YaHei" w:hAnsi="Microsoft YaHei" w:eastAsia="Microsoft YaHei"/>
                <w:b w:val="0"/>
                <w:sz w:val="18"/>
              </w:rPr>
              <w:t>[R5][R6][R10]</w:t>
            </w:r>
          </w:p>
        </w:tc>
      </w:tr>
      <w:tr>
        <w:tc>
          <w:tcPr>
            <w:tcW w:type="dxa" w:w="1814"/>
            <w:vAlign w:val="center"/>
          </w:tcPr>
          <w:p>
            <w:pPr>
              <w:spacing w:after="0" w:before="0" w:lineRule="auto" w:line="283"/>
              <w:jc w:val="left"/>
            </w:pPr>
            <w:r/>
            <w:r>
              <w:rPr>
                <w:rFonts w:ascii="Microsoft YaHei" w:hAnsi="Microsoft YaHei" w:eastAsia="Microsoft YaHei"/>
                <w:b w:val="0"/>
                <w:sz w:val="18"/>
              </w:rPr>
              <w:t>制造业解决方案</w:t>
            </w:r>
          </w:p>
        </w:tc>
        <w:tc>
          <w:tcPr>
            <w:tcW w:type="dxa" w:w="2381"/>
            <w:vAlign w:val="center"/>
          </w:tcPr>
          <w:p>
            <w:pPr>
              <w:spacing w:after="0" w:before="0" w:lineRule="auto" w:line="283"/>
              <w:jc w:val="left"/>
            </w:pPr>
            <w:r/>
            <w:r>
              <w:rPr>
                <w:rFonts w:ascii="Microsoft YaHei" w:hAnsi="Microsoft YaHei" w:eastAsia="Microsoft YaHei"/>
                <w:b w:val="0"/>
                <w:sz w:val="18"/>
              </w:rPr>
              <w:t>围绕制造企业生产、计划、成本、质量、能源和环保等流程，交付业务系统与运营系统。</w:t>
            </w:r>
          </w:p>
        </w:tc>
        <w:tc>
          <w:tcPr>
            <w:tcW w:type="dxa" w:w="1247"/>
            <w:vAlign w:val="center"/>
          </w:tcPr>
          <w:p>
            <w:pPr>
              <w:spacing w:after="0" w:before="0" w:lineRule="auto" w:line="283"/>
              <w:jc w:val="center"/>
            </w:pPr>
            <w:r/>
            <w:r>
              <w:rPr>
                <w:rFonts w:ascii="Microsoft YaHei" w:hAnsi="Microsoft YaHei" w:eastAsia="Microsoft YaHei"/>
                <w:b w:val="0"/>
                <w:sz w:val="18"/>
              </w:rPr>
              <w:t>8%—12%</w:t>
            </w:r>
          </w:p>
        </w:tc>
        <w:tc>
          <w:tcPr>
            <w:tcW w:type="dxa" w:w="1247"/>
            <w:vAlign w:val="center"/>
          </w:tcPr>
          <w:p>
            <w:pPr>
              <w:spacing w:after="0" w:before="0" w:lineRule="auto" w:line="283"/>
              <w:jc w:val="center"/>
            </w:pPr>
            <w:r/>
            <w:r>
              <w:rPr>
                <w:rFonts w:ascii="Microsoft YaHei" w:hAnsi="Microsoft YaHei" w:eastAsia="Microsoft YaHei"/>
                <w:b w:val="0"/>
                <w:sz w:val="18"/>
              </w:rPr>
              <w:t>8%—12%</w:t>
            </w:r>
          </w:p>
        </w:tc>
        <w:tc>
          <w:tcPr>
            <w:tcW w:type="dxa" w:w="2721"/>
            <w:vAlign w:val="center"/>
          </w:tcPr>
          <w:p>
            <w:pPr>
              <w:spacing w:after="0" w:before="0" w:lineRule="auto" w:line="283"/>
              <w:jc w:val="left"/>
            </w:pPr>
            <w:r/>
            <w:r>
              <w:rPr>
                <w:rFonts w:ascii="Microsoft YaHei" w:hAnsi="Microsoft YaHei" w:eastAsia="Microsoft YaHei"/>
                <w:b w:val="0"/>
                <w:sz w:val="18"/>
              </w:rPr>
              <w:t>官网当前明确展示制造执行系统、一级计划控制、一级成本核算、精益管理与质量控制等模块；公司资料显示 2019 年已获得智能制造创新方案奖，但公开未披露单独收入。</w:t>
            </w:r>
          </w:p>
        </w:tc>
        <w:tc>
          <w:tcPr>
            <w:tcW w:type="dxa" w:w="1020"/>
            <w:vAlign w:val="center"/>
          </w:tcPr>
          <w:p>
            <w:pPr>
              <w:spacing w:after="0" w:before="0" w:lineRule="auto" w:line="283"/>
              <w:jc w:val="center"/>
            </w:pPr>
            <w:r/>
            <w:r>
              <w:rPr>
                <w:rFonts w:ascii="Microsoft YaHei" w:hAnsi="Microsoft YaHei" w:eastAsia="Microsoft YaHei"/>
                <w:b w:val="0"/>
                <w:sz w:val="18"/>
              </w:rPr>
              <w:t>[R2][R4]</w:t>
            </w:r>
          </w:p>
        </w:tc>
      </w:tr>
      <w:tr>
        <w:tc>
          <w:tcPr>
            <w:tcW w:type="dxa" w:w="1814"/>
            <w:vAlign w:val="center"/>
          </w:tcPr>
          <w:p>
            <w:pPr>
              <w:spacing w:after="0" w:before="0" w:lineRule="auto" w:line="283"/>
              <w:jc w:val="left"/>
            </w:pPr>
            <w:r/>
            <w:r>
              <w:rPr>
                <w:rFonts w:ascii="Microsoft YaHei" w:hAnsi="Microsoft YaHei" w:eastAsia="Microsoft YaHei"/>
                <w:b w:val="0"/>
                <w:sz w:val="18"/>
              </w:rPr>
              <w:t>物流与供应链解决方案</w:t>
            </w:r>
          </w:p>
        </w:tc>
        <w:tc>
          <w:tcPr>
            <w:tcW w:type="dxa" w:w="2381"/>
            <w:vAlign w:val="center"/>
          </w:tcPr>
          <w:p>
            <w:pPr>
              <w:spacing w:after="0" w:before="0" w:lineRule="auto" w:line="283"/>
              <w:jc w:val="left"/>
            </w:pPr>
            <w:r/>
            <w:r>
              <w:rPr>
                <w:rFonts w:ascii="Microsoft YaHei" w:hAnsi="Microsoft YaHei" w:eastAsia="Microsoft YaHei"/>
                <w:b w:val="0"/>
                <w:sz w:val="18"/>
              </w:rPr>
              <w:t>围绕物流效率、成本优化、智能物流与设备协同，交付物流系统与运营能力。</w:t>
            </w:r>
          </w:p>
        </w:tc>
        <w:tc>
          <w:tcPr>
            <w:tcW w:type="dxa" w:w="1247"/>
            <w:vAlign w:val="center"/>
          </w:tcPr>
          <w:p>
            <w:pPr>
              <w:spacing w:after="0" w:before="0" w:lineRule="auto" w:line="283"/>
              <w:jc w:val="center"/>
            </w:pPr>
            <w:r/>
            <w:r>
              <w:rPr>
                <w:rFonts w:ascii="Microsoft YaHei" w:hAnsi="Microsoft YaHei" w:eastAsia="Microsoft YaHei"/>
                <w:b w:val="0"/>
                <w:sz w:val="18"/>
              </w:rPr>
              <w:t>5%—8%</w:t>
            </w:r>
          </w:p>
        </w:tc>
        <w:tc>
          <w:tcPr>
            <w:tcW w:type="dxa" w:w="1247"/>
            <w:vAlign w:val="center"/>
          </w:tcPr>
          <w:p>
            <w:pPr>
              <w:spacing w:after="0" w:before="0" w:lineRule="auto" w:line="283"/>
              <w:jc w:val="center"/>
            </w:pPr>
            <w:r/>
            <w:r>
              <w:rPr>
                <w:rFonts w:ascii="Microsoft YaHei" w:hAnsi="Microsoft YaHei" w:eastAsia="Microsoft YaHei"/>
                <w:b w:val="0"/>
                <w:sz w:val="18"/>
              </w:rPr>
              <w:t>5%—8%</w:t>
            </w:r>
          </w:p>
        </w:tc>
        <w:tc>
          <w:tcPr>
            <w:tcW w:type="dxa" w:w="2721"/>
            <w:vAlign w:val="center"/>
          </w:tcPr>
          <w:p>
            <w:pPr>
              <w:spacing w:after="0" w:before="0" w:lineRule="auto" w:line="283"/>
              <w:jc w:val="left"/>
            </w:pPr>
            <w:r/>
            <w:r>
              <w:rPr>
                <w:rFonts w:ascii="Microsoft YaHei" w:hAnsi="Microsoft YaHei" w:eastAsia="Microsoft YaHei"/>
                <w:b w:val="0"/>
                <w:sz w:val="18"/>
              </w:rPr>
              <w:t>官网 2015 年即将零售与物流列为重要方向，当前仍单独展示物流方案；但从公开资料看其规模应小于 SAP / 金融两条主线。</w:t>
            </w:r>
          </w:p>
        </w:tc>
        <w:tc>
          <w:tcPr>
            <w:tcW w:type="dxa" w:w="1020"/>
            <w:vAlign w:val="center"/>
          </w:tcPr>
          <w:p>
            <w:pPr>
              <w:spacing w:after="0" w:before="0" w:lineRule="auto" w:line="283"/>
              <w:jc w:val="center"/>
            </w:pPr>
            <w:r/>
            <w:r>
              <w:rPr>
                <w:rFonts w:ascii="Microsoft YaHei" w:hAnsi="Microsoft YaHei" w:eastAsia="Microsoft YaHei"/>
                <w:b w:val="0"/>
                <w:sz w:val="18"/>
              </w:rPr>
              <w:t>[R1][R2][R5]</w:t>
            </w:r>
          </w:p>
        </w:tc>
      </w:tr>
      <w:tr>
        <w:tc>
          <w:tcPr>
            <w:tcW w:type="dxa" w:w="1814"/>
            <w:vAlign w:val="center"/>
          </w:tcPr>
          <w:p>
            <w:pPr>
              <w:spacing w:after="0" w:before="0" w:lineRule="auto" w:line="283"/>
              <w:jc w:val="left"/>
            </w:pPr>
            <w:r/>
            <w:r>
              <w:rPr>
                <w:rFonts w:ascii="Microsoft YaHei" w:hAnsi="Microsoft YaHei" w:eastAsia="Microsoft YaHei"/>
                <w:b w:val="0"/>
                <w:sz w:val="18"/>
              </w:rPr>
              <w:t>通用数字化与上云项目</w:t>
            </w:r>
          </w:p>
        </w:tc>
        <w:tc>
          <w:tcPr>
            <w:tcW w:type="dxa" w:w="2381"/>
            <w:vAlign w:val="center"/>
          </w:tcPr>
          <w:p>
            <w:pPr>
              <w:spacing w:after="0" w:before="0" w:lineRule="auto" w:line="283"/>
              <w:jc w:val="left"/>
            </w:pPr>
            <w:r/>
            <w:r>
              <w:rPr>
                <w:rFonts w:ascii="Microsoft YaHei" w:hAnsi="Microsoft YaHei" w:eastAsia="Microsoft YaHei"/>
                <w:b w:val="0"/>
                <w:sz w:val="18"/>
              </w:rPr>
              <w:t>指非 SAP 的定制应用开发、系统迁移、云上应用迁移与维护，以及围绕云技术的人力与项目交付。</w:t>
            </w:r>
          </w:p>
        </w:tc>
        <w:tc>
          <w:tcPr>
            <w:tcW w:type="dxa" w:w="1247"/>
            <w:vAlign w:val="center"/>
          </w:tcPr>
          <w:p>
            <w:pPr>
              <w:spacing w:after="0" w:before="0" w:lineRule="auto" w:line="283"/>
              <w:jc w:val="center"/>
            </w:pPr>
            <w:r/>
            <w:r>
              <w:rPr>
                <w:rFonts w:ascii="Microsoft YaHei" w:hAnsi="Microsoft YaHei" w:eastAsia="Microsoft YaHei"/>
                <w:b w:val="0"/>
                <w:sz w:val="18"/>
              </w:rPr>
              <w:t>7%—12%</w:t>
            </w:r>
          </w:p>
        </w:tc>
        <w:tc>
          <w:tcPr>
            <w:tcW w:type="dxa" w:w="1247"/>
            <w:vAlign w:val="center"/>
          </w:tcPr>
          <w:p>
            <w:pPr>
              <w:spacing w:after="0" w:before="0" w:lineRule="auto" w:line="283"/>
              <w:jc w:val="center"/>
            </w:pPr>
            <w:r/>
            <w:r>
              <w:rPr>
                <w:rFonts w:ascii="Microsoft YaHei" w:hAnsi="Microsoft YaHei" w:eastAsia="Microsoft YaHei"/>
                <w:b w:val="0"/>
                <w:sz w:val="18"/>
              </w:rPr>
              <w:t>8%—12%</w:t>
            </w:r>
          </w:p>
        </w:tc>
        <w:tc>
          <w:tcPr>
            <w:tcW w:type="dxa" w:w="2721"/>
            <w:vAlign w:val="center"/>
          </w:tcPr>
          <w:p>
            <w:pPr>
              <w:spacing w:after="0" w:before="0" w:lineRule="auto" w:line="283"/>
              <w:jc w:val="left"/>
            </w:pPr>
            <w:r/>
            <w:r>
              <w:rPr>
                <w:rFonts w:ascii="Microsoft YaHei" w:hAnsi="Microsoft YaHei" w:eastAsia="Microsoft YaHei"/>
                <w:b w:val="0"/>
                <w:sz w:val="18"/>
              </w:rPr>
              <w:t>官网当前单列定制应用设计开发、系统迁移、云上应用迁移与维护、云技术人员服务；并入金山云后，这部分也与企业云项目实施协同增强。</w:t>
            </w:r>
          </w:p>
        </w:tc>
        <w:tc>
          <w:tcPr>
            <w:tcW w:type="dxa" w:w="1020"/>
            <w:vAlign w:val="center"/>
          </w:tcPr>
          <w:p>
            <w:pPr>
              <w:spacing w:after="0" w:before="0" w:lineRule="auto" w:line="283"/>
              <w:jc w:val="center"/>
            </w:pPr>
            <w:r/>
            <w:r>
              <w:rPr>
                <w:rFonts w:ascii="Microsoft YaHei" w:hAnsi="Microsoft YaHei" w:eastAsia="Microsoft YaHei"/>
                <w:b w:val="0"/>
                <w:sz w:val="18"/>
              </w:rPr>
              <w:t>[R2][R6][R8][R9]</w:t>
            </w:r>
          </w:p>
        </w:tc>
      </w:tr>
      <w:tr>
        <w:tc>
          <w:tcPr>
            <w:tcW w:type="dxa" w:w="1814"/>
            <w:vAlign w:val="center"/>
          </w:tcPr>
          <w:p>
            <w:pPr>
              <w:spacing w:after="0" w:before="0" w:lineRule="auto" w:line="283"/>
              <w:jc w:val="left"/>
            </w:pPr>
            <w:r/>
            <w:r>
              <w:rPr>
                <w:rFonts w:ascii="Microsoft YaHei" w:hAnsi="Microsoft YaHei" w:eastAsia="Microsoft YaHei"/>
                <w:b w:val="0"/>
                <w:sz w:val="18"/>
              </w:rPr>
              <w:t>业务流程外包与运营支持</w:t>
            </w:r>
          </w:p>
        </w:tc>
        <w:tc>
          <w:tcPr>
            <w:tcW w:type="dxa" w:w="2381"/>
            <w:vAlign w:val="center"/>
          </w:tcPr>
          <w:p>
            <w:pPr>
              <w:spacing w:after="0" w:before="0" w:lineRule="auto" w:line="283"/>
              <w:jc w:val="left"/>
            </w:pPr>
            <w:r/>
            <w:r>
              <w:rPr>
                <w:rFonts w:ascii="Microsoft YaHei" w:hAnsi="Microsoft YaHei" w:eastAsia="Microsoft YaHei"/>
                <w:b w:val="0"/>
                <w:sz w:val="18"/>
              </w:rPr>
              <w:t>围绕互联网零售支持、客服中心、数据标注、信息处理、后台运营与岗位支持等流程型工作提供持续服务。</w:t>
            </w:r>
          </w:p>
        </w:tc>
        <w:tc>
          <w:tcPr>
            <w:tcW w:type="dxa" w:w="1247"/>
            <w:vAlign w:val="center"/>
          </w:tcPr>
          <w:p>
            <w:pPr>
              <w:spacing w:after="0" w:before="0" w:lineRule="auto" w:line="283"/>
              <w:jc w:val="center"/>
            </w:pPr>
            <w:r/>
            <w:r>
              <w:rPr>
                <w:rFonts w:ascii="Microsoft YaHei" w:hAnsi="Microsoft YaHei" w:eastAsia="Microsoft YaHei"/>
                <w:b w:val="0"/>
                <w:sz w:val="18"/>
              </w:rPr>
              <w:t>3%—8%</w:t>
            </w:r>
          </w:p>
        </w:tc>
        <w:tc>
          <w:tcPr>
            <w:tcW w:type="dxa" w:w="1247"/>
            <w:vAlign w:val="center"/>
          </w:tcPr>
          <w:p>
            <w:pPr>
              <w:spacing w:after="0" w:before="0" w:lineRule="auto" w:line="283"/>
              <w:jc w:val="center"/>
            </w:pPr>
            <w:r/>
            <w:r>
              <w:rPr>
                <w:rFonts w:ascii="Microsoft YaHei" w:hAnsi="Microsoft YaHei" w:eastAsia="Microsoft YaHei"/>
                <w:b w:val="0"/>
                <w:sz w:val="18"/>
              </w:rPr>
              <w:t>5%—10%</w:t>
            </w:r>
          </w:p>
        </w:tc>
        <w:tc>
          <w:tcPr>
            <w:tcW w:type="dxa" w:w="2721"/>
            <w:vAlign w:val="center"/>
          </w:tcPr>
          <w:p>
            <w:pPr>
              <w:spacing w:after="0" w:before="0" w:lineRule="auto" w:line="283"/>
              <w:jc w:val="left"/>
            </w:pPr>
            <w:r/>
            <w:r>
              <w:rPr>
                <w:rFonts w:ascii="Microsoft YaHei" w:hAnsi="Microsoft YaHei" w:eastAsia="Microsoft YaHei"/>
                <w:b w:val="0"/>
                <w:sz w:val="18"/>
              </w:rPr>
              <w:t>官网 2018 年发展 BPO 业务，当前将业务流程外包单独列示；公司介绍材料对客服、信息处理、后台支持写得很详细，但这条线更像补充与延伸业务。</w:t>
            </w:r>
          </w:p>
        </w:tc>
        <w:tc>
          <w:tcPr>
            <w:tcW w:type="dxa" w:w="1020"/>
            <w:vAlign w:val="center"/>
          </w:tcPr>
          <w:p>
            <w:pPr>
              <w:spacing w:after="0" w:before="0" w:lineRule="auto" w:line="283"/>
              <w:jc w:val="center"/>
            </w:pPr>
            <w:r/>
            <w:r>
              <w:rPr>
                <w:rFonts w:ascii="Microsoft YaHei" w:hAnsi="Microsoft YaHei" w:eastAsia="Microsoft YaHei"/>
                <w:b w:val="0"/>
                <w:sz w:val="18"/>
              </w:rPr>
              <w:t>[R1][R3][R5]</w:t>
            </w:r>
          </w:p>
        </w:tc>
      </w:tr>
    </w:tbl>
    <w:p/>
    <w:p>
      <w:pPr>
        <w:pStyle w:val="Heading1CN"/>
        <w:spacing w:before="0" w:after="120" w:lineRule="auto" w:line="324"/>
      </w:pPr>
      <w:r>
        <w:rPr>
          <w:rFonts w:ascii="Microsoft YaHei" w:hAnsi="Microsoft YaHei" w:eastAsia="Microsoft YaHei"/>
          <w:sz w:val="21"/>
        </w:rPr>
        <w:t>四、六条一级业务线的详细解释</w:t>
      </w:r>
    </w:p>
    <w:p>
      <w:pPr>
        <w:pStyle w:val="Heading2CN"/>
        <w:spacing w:before="0" w:after="120" w:lineRule="auto" w:line="324"/>
      </w:pPr>
      <w:r>
        <w:rPr>
          <w:rFonts w:ascii="Microsoft YaHei" w:hAnsi="Microsoft YaHei" w:eastAsia="Microsoft YaHei"/>
          <w:sz w:val="21"/>
        </w:rPr>
        <w:t>4.1 SAP / 企业应用服务：公司的历史底盘，也是最稳定的主体业务</w:t>
      </w:r>
    </w:p>
    <w:p>
      <w:pPr>
        <w:pStyle w:val="BodyCN"/>
        <w:spacing w:before="0" w:after="120" w:lineRule="auto" w:line="324"/>
      </w:pPr>
      <w:r>
        <w:rPr>
          <w:rFonts w:ascii="Microsoft YaHei" w:hAnsi="Microsoft YaHei" w:eastAsia="Microsoft YaHei"/>
          <w:sz w:val="21"/>
        </w:rPr>
        <w:t>这条线本质上解决的是：企业的核心管理系统怎么建设、怎么上线、怎么升级、怎么持续运行。它不是单一的软件 license 转售，而是围绕企业资源计划和企业应用系统提供从顾问、实施到维护的全生命周期服务。[R2][R3][R10]</w:t>
      </w:r>
    </w:p>
    <w:p>
      <w:pPr>
        <w:pStyle w:val="BodyCN"/>
        <w:spacing w:before="0" w:after="120" w:lineRule="auto" w:line="324"/>
      </w:pPr>
      <w:r>
        <w:rPr>
          <w:rFonts w:ascii="Microsoft YaHei" w:hAnsi="Microsoft YaHei" w:eastAsia="Microsoft YaHei"/>
          <w:sz w:val="21"/>
        </w:rPr>
        <w:t>公开资料中，最接近这条线的历史口径叫“企业应用服务”。早期招股材料明确写到，该业务线主要包括两部分：其一是主流 ERP 软件包服务，其二是软件开发和维护服务。该业务线 2007—2010 年间收入占比为 86.3%、71.9%、67.3%、70.8%，一直是公司最大的服务线。[R10]</w:t>
      </w:r>
    </w:p>
    <w:p>
      <w:pPr>
        <w:pStyle w:val="BodyCN"/>
        <w:spacing w:before="0" w:after="120" w:lineRule="auto" w:line="324"/>
      </w:pPr>
      <w:r>
        <w:rPr>
          <w:rFonts w:ascii="Microsoft YaHei" w:hAnsi="Microsoft YaHei" w:eastAsia="Microsoft YaHei"/>
          <w:sz w:val="21"/>
        </w:rPr>
        <w:t>把今天官网能力映射回这条线，其范围至少包括：企业资源计划应用实施、企业资源计划顾问、定制应用设计与开发、系统迁移、云上应用迁移、云上应用维护，以及企业应用维护服务。官网还明确写到，企业应用维护覆盖 SAP ERP 及其他第三方企业级应用系统，通过远程运维支持中心与现场支持模式提供应用升级、开发部署、维护和支持服务。[R2][R3]</w:t>
      </w:r>
    </w:p>
    <w:p>
      <w:pPr>
        <w:pStyle w:val="BodyCN"/>
        <w:spacing w:before="0" w:after="120" w:lineRule="auto" w:line="324"/>
      </w:pPr>
      <w:r>
        <w:rPr>
          <w:rFonts w:ascii="Microsoft YaHei" w:hAnsi="Microsoft YaHei" w:eastAsia="Microsoft YaHei"/>
          <w:sz w:val="21"/>
        </w:rPr>
        <w:t>从商业模式看，这条线通常按项目收费或按履约进度确认收入。金山云在并购文件中写明，Camelot Group generally charges its customers service fees on a project basis based on performance completion；同时其成本端主要是为客户提供企业数字化解决方案和相关服务所发生的员工薪酬。[R7]</w:t>
      </w:r>
    </w:p>
    <w:p>
      <w:pPr>
        <w:pStyle w:val="BodyCN"/>
        <w:spacing w:before="0" w:after="120" w:lineRule="auto" w:line="324"/>
      </w:pPr>
      <w:r>
        <w:rPr>
          <w:rFonts w:ascii="Microsoft YaHei" w:hAnsi="Microsoft YaHei" w:eastAsia="Microsoft YaHei"/>
          <w:sz w:val="21"/>
        </w:rPr>
        <w:t>因此，SAP / 企业应用服务之所以要单独列为一级业务线，不只是因为它历史上收入占比高，更因为它是柯莱特最能独立成型、最能解释其人员结构与利润模型的业务底盘。[R7][R10]</w:t>
      </w:r>
    </w:p>
    <w:p>
      <w:pPr>
        <w:pStyle w:val="Heading2CN"/>
        <w:spacing w:before="0" w:after="120" w:lineRule="auto" w:line="324"/>
      </w:pPr>
      <w:r>
        <w:rPr>
          <w:rFonts w:ascii="Microsoft YaHei" w:hAnsi="Microsoft YaHei" w:eastAsia="Microsoft YaHei"/>
          <w:sz w:val="21"/>
        </w:rPr>
        <w:t>4.2 金融解决方案：公司的第二条历史主线，不应并入“其他”</w:t>
      </w:r>
    </w:p>
    <w:p>
      <w:pPr>
        <w:pStyle w:val="BodyCN"/>
        <w:spacing w:before="0" w:after="120" w:lineRule="auto" w:line="324"/>
      </w:pPr>
      <w:r>
        <w:rPr>
          <w:rFonts w:ascii="Microsoft YaHei" w:hAnsi="Microsoft YaHei" w:eastAsia="Microsoft YaHei"/>
          <w:sz w:val="21"/>
        </w:rPr>
        <w:t>金融解决方案的核心，不是泛泛的行业咨询，而是围绕银行和金融机构的关键业务系统、风控系统与合规系统，交付场景化系统工程。[R5][R6][R10]</w:t>
      </w:r>
    </w:p>
    <w:p>
      <w:pPr>
        <w:pStyle w:val="BodyCN"/>
        <w:spacing w:before="0" w:after="120" w:lineRule="auto" w:line="324"/>
      </w:pPr>
      <w:r>
        <w:rPr>
          <w:rFonts w:ascii="Microsoft YaHei" w:hAnsi="Microsoft YaHei" w:eastAsia="Microsoft YaHei"/>
          <w:sz w:val="21"/>
        </w:rPr>
        <w:t>早期招股材料中，公司把这条线单独称为“金融行业信息技术服务”，其定义包括：软件解决方案、系统支持与维护、信息技术咨询。该业务线 2007—2010 年间收入占比为 13.7%、28.1%、32.7%、29.2%，说明它不是边缘业务，而是长期存在且占比较高的第二主线。[R10]</w:t>
      </w:r>
    </w:p>
    <w:p>
      <w:pPr>
        <w:pStyle w:val="BodyCN"/>
        <w:spacing w:before="0" w:after="120" w:lineRule="auto" w:line="324"/>
      </w:pPr>
      <w:r>
        <w:rPr>
          <w:rFonts w:ascii="Microsoft YaHei" w:hAnsi="Microsoft YaHei" w:eastAsia="Microsoft YaHei"/>
          <w:sz w:val="21"/>
        </w:rPr>
        <w:t>并购后的金山云材料进一步说明了这条线“到底解决什么问题”：Camelot 在金融行业拥有深厚知识，可提供柜面系统或分支系统，并可提供反洗钱、反欺诈等软件服务。[R6]</w:t>
      </w:r>
    </w:p>
    <w:p>
      <w:pPr>
        <w:pStyle w:val="BodyCN"/>
        <w:spacing w:before="0" w:after="120" w:lineRule="auto" w:line="324"/>
      </w:pPr>
      <w:r>
        <w:rPr>
          <w:rFonts w:ascii="Microsoft YaHei" w:hAnsi="Microsoft YaHei" w:eastAsia="Microsoft YaHei"/>
          <w:sz w:val="21"/>
        </w:rPr>
        <w:t>公司介绍材料又把金融大数据应用进一步拆成了四个方案包：第一类是反洗钱解决方案，包括身份识别、名单监控、数据报送、风险管理，以及检查支持、数据查询、模型实验室、内控管理、质量监督与统计报表；第二类是账户风险监测解决方案，包括数据采集加工、风险监测分析、查询查证分析与风险管理辅助；第三类是监管报送解决方案，包括金融数据监管咨询、监管数据集市与统一监管报送平台；第四类是风险审计管理系统，包括审计管理平台、审计作业平台、决策管理支持与审计工具平台。[R5]</w:t>
      </w:r>
    </w:p>
    <w:p>
      <w:pPr>
        <w:pStyle w:val="BodyCN"/>
        <w:spacing w:before="0" w:after="120" w:lineRule="auto" w:line="324"/>
      </w:pPr>
      <w:r>
        <w:rPr>
          <w:rFonts w:ascii="Microsoft YaHei" w:hAnsi="Microsoft YaHei" w:eastAsia="Microsoft YaHei"/>
          <w:sz w:val="21"/>
        </w:rPr>
        <w:t>因此，这里的“解决方案”不是写咨询报告，而是围绕金融机构的规则、流程、报送和风控要求，交付一套可运行的系统平台和支持体系。</w:t>
      </w:r>
    </w:p>
    <w:p>
      <w:pPr>
        <w:pStyle w:val="Heading2CN"/>
        <w:spacing w:before="0" w:after="120" w:lineRule="auto" w:line="324"/>
      </w:pPr>
      <w:r>
        <w:rPr>
          <w:rFonts w:ascii="Microsoft YaHei" w:hAnsi="Microsoft YaHei" w:eastAsia="Microsoft YaHei"/>
          <w:sz w:val="21"/>
        </w:rPr>
        <w:t>4.3 制造业解决方案：围绕工厂运营流程的系统工程</w:t>
      </w:r>
    </w:p>
    <w:p>
      <w:pPr>
        <w:pStyle w:val="BodyCN"/>
        <w:spacing w:before="0" w:after="120" w:lineRule="auto" w:line="324"/>
      </w:pPr>
      <w:r>
        <w:rPr>
          <w:rFonts w:ascii="Microsoft YaHei" w:hAnsi="Microsoft YaHei" w:eastAsia="Microsoft YaHei"/>
          <w:sz w:val="21"/>
        </w:rPr>
        <w:t>制造业解决方案这条线的本质，是帮助制造企业把生产、计划、成本、质量、能源和环保等关键流程数字化、系统化、可监控化。[R2]</w:t>
      </w:r>
    </w:p>
    <w:p>
      <w:pPr>
        <w:pStyle w:val="BodyCN"/>
        <w:spacing w:before="0" w:after="120" w:lineRule="auto" w:line="324"/>
      </w:pPr>
      <w:r>
        <w:rPr>
          <w:rFonts w:ascii="Microsoft YaHei" w:hAnsi="Microsoft YaHei" w:eastAsia="Microsoft YaHei"/>
          <w:sz w:val="21"/>
        </w:rPr>
        <w:t>官网当前对制造业方案写得很具体，至少包括：制造执行系统、生产到订单 / 销售一体化、一级计划控制、一级成本核算、生产 / 物流 / 能源 / 环保集中管控，以及精益管理与质量控制等。[R2]</w:t>
      </w:r>
    </w:p>
    <w:p>
      <w:pPr>
        <w:pStyle w:val="BodyCN"/>
        <w:spacing w:before="0" w:after="120" w:lineRule="auto" w:line="324"/>
      </w:pPr>
      <w:r>
        <w:rPr>
          <w:rFonts w:ascii="Microsoft YaHei" w:hAnsi="Microsoft YaHei" w:eastAsia="Microsoft YaHei"/>
          <w:sz w:val="21"/>
        </w:rPr>
        <w:t>把这些模块翻译成业务语言，柯莱特做的不是泛泛“数字化项目”，而是帮助工厂解决以下问题：第一，生产指令、工序、设备、人员和订单如何协同；第二，计划、成本与质量如何实时闭环；第三，能源、环保和物流等外围流程如何纳入统一的可视化和控制体系；第四，如何把 ERP 层、执行层和现场管理层串起来，形成真正能运行的系统。[R2][R5]</w:t>
      </w:r>
    </w:p>
    <w:p>
      <w:pPr>
        <w:pStyle w:val="BodyCN"/>
        <w:spacing w:before="0" w:after="120" w:lineRule="auto" w:line="324"/>
      </w:pPr>
      <w:r>
        <w:rPr>
          <w:rFonts w:ascii="Microsoft YaHei" w:hAnsi="Microsoft YaHei" w:eastAsia="Microsoft YaHei"/>
          <w:sz w:val="21"/>
        </w:rPr>
        <w:t>从交付形态看，这类项目通常需要先理解工厂流程与管理痛点，再做系统设计、模块配置、接口集成、上线部署和后续优化，因此本质上是业务流程与信息系统的结合，而不是简单派驻开发人员。[R2][R5]</w:t>
      </w:r>
    </w:p>
    <w:p>
      <w:pPr>
        <w:pStyle w:val="Heading2CN"/>
        <w:spacing w:before="0" w:after="120" w:lineRule="auto" w:line="324"/>
      </w:pPr>
      <w:r>
        <w:rPr>
          <w:rFonts w:ascii="Microsoft YaHei" w:hAnsi="Microsoft YaHei" w:eastAsia="Microsoft YaHei"/>
          <w:sz w:val="21"/>
        </w:rPr>
        <w:t>4.4 物流与供应链解决方案：边界较清楚、规模相对较小</w:t>
      </w:r>
    </w:p>
    <w:p>
      <w:pPr>
        <w:pStyle w:val="BodyCN"/>
        <w:spacing w:before="0" w:after="120" w:lineRule="auto" w:line="324"/>
      </w:pPr>
      <w:r>
        <w:rPr>
          <w:rFonts w:ascii="Microsoft YaHei" w:hAnsi="Microsoft YaHei" w:eastAsia="Microsoft YaHei"/>
          <w:sz w:val="21"/>
        </w:rPr>
        <w:t>物流与供应链解决方案主要解决三个问题：物流业务运作效率如何提升、物流成本和浪费如何降低、智能物流和设备能力如何与业务流程协同。[R2]</w:t>
      </w:r>
    </w:p>
    <w:p>
      <w:pPr>
        <w:pStyle w:val="BodyCN"/>
        <w:spacing w:before="0" w:after="120" w:lineRule="auto" w:line="324"/>
      </w:pPr>
      <w:r>
        <w:rPr>
          <w:rFonts w:ascii="Microsoft YaHei" w:hAnsi="Microsoft YaHei" w:eastAsia="Microsoft YaHei"/>
          <w:sz w:val="21"/>
        </w:rPr>
        <w:t>官网当前将物流方案单独列出，并将智能物流作为典型场景；公司时间轴还写明，2015 年公司在零售和物流行业成为软件和解决方案供应商的先行者。[R1][R2]</w:t>
      </w:r>
    </w:p>
    <w:p>
      <w:pPr>
        <w:pStyle w:val="BodyCN"/>
        <w:spacing w:before="0" w:after="120" w:lineRule="auto" w:line="324"/>
      </w:pPr>
      <w:r>
        <w:rPr>
          <w:rFonts w:ascii="Microsoft YaHei" w:hAnsi="Microsoft YaHei" w:eastAsia="Microsoft YaHei"/>
          <w:sz w:val="21"/>
        </w:rPr>
        <w:t>结合公司介绍材料中的行业解决方案图谱，这条线往往与全渠道销售、物流平台、门店 / 终端管理、服务运营等模块相连接，既可能是独立项目，也可能作为零售、制造或企业应用项目的一个子系统交付。[R5]</w:t>
      </w:r>
    </w:p>
    <w:p>
      <w:pPr>
        <w:pStyle w:val="Heading2CN"/>
        <w:spacing w:before="0" w:after="120" w:lineRule="auto" w:line="324"/>
      </w:pPr>
      <w:r>
        <w:rPr>
          <w:rFonts w:ascii="Microsoft YaHei" w:hAnsi="Microsoft YaHei" w:eastAsia="Microsoft YaHei"/>
          <w:sz w:val="21"/>
        </w:rPr>
        <w:t>4.5 通用数字化与上云项目：公司当前新增能力的重要承接层</w:t>
      </w:r>
    </w:p>
    <w:p>
      <w:pPr>
        <w:pStyle w:val="BodyCN"/>
        <w:spacing w:before="0" w:after="120" w:lineRule="auto" w:line="324"/>
      </w:pPr>
      <w:r>
        <w:rPr>
          <w:rFonts w:ascii="Microsoft YaHei" w:hAnsi="Microsoft YaHei" w:eastAsia="Microsoft YaHei"/>
          <w:sz w:val="21"/>
        </w:rPr>
        <w:t>这条线主要指不完全属于 SAP 主线、也不直接属于某一特定行业垂直方案，但与企业数字化和云环境迁移高度相关的项目。[R2][R6]</w:t>
      </w:r>
    </w:p>
    <w:p>
      <w:pPr>
        <w:pStyle w:val="BodyCN"/>
        <w:spacing w:before="0" w:after="120" w:lineRule="auto" w:line="324"/>
      </w:pPr>
      <w:r>
        <w:rPr>
          <w:rFonts w:ascii="Microsoft YaHei" w:hAnsi="Microsoft YaHei" w:eastAsia="Microsoft YaHei"/>
          <w:sz w:val="21"/>
        </w:rPr>
        <w:t>官网明确列出了：定制应用设计与开发、系统迁移（例如从大型机系统迁移到开放平台）、软件开发与测试服务、系统运维服务、云技术人员服务、云上应用迁移和云上应用维护。[R2]</w:t>
      </w:r>
    </w:p>
    <w:p>
      <w:pPr>
        <w:pStyle w:val="BodyCN"/>
        <w:spacing w:before="0" w:after="120" w:lineRule="auto" w:line="324"/>
      </w:pPr>
      <w:r>
        <w:rPr>
          <w:rFonts w:ascii="Microsoft YaHei" w:hAnsi="Microsoft YaHei" w:eastAsia="Microsoft YaHei"/>
          <w:sz w:val="21"/>
        </w:rPr>
        <w:t>从业务实质上看，这条线解决的通常是：老系统如何迁移、新应用如何定制开发、既有应用如何从本地环境迁移到云环境、云上系统如何持续运行与维护。这些项目未必以 SAP 为中心，也未必只落在某一个行业场景中，但它们是当前企业数字化改造最常见的需求之一。[R2][R5]</w:t>
      </w:r>
    </w:p>
    <w:p>
      <w:pPr>
        <w:pStyle w:val="BodyCN"/>
        <w:spacing w:before="0" w:after="120" w:lineRule="auto" w:line="324"/>
      </w:pPr>
      <w:r>
        <w:rPr>
          <w:rFonts w:ascii="Microsoft YaHei" w:hAnsi="Microsoft YaHei" w:eastAsia="Microsoft YaHei"/>
          <w:sz w:val="21"/>
        </w:rPr>
        <w:t>并入金山云后，这条线的重要性进一步提升。金山云文件写到，Camelot 负责的企业云服务项目会帮助客户在本地专属基础设施上建立云环境，涵盖网络与架构搭建、管理软件安装、系统配置和连接等内容；这意味着柯莱特并不只做应用层，也承担部分企业云项目的实施与落地职责。[R6]</w:t>
      </w:r>
    </w:p>
    <w:p>
      <w:pPr>
        <w:pStyle w:val="Heading2CN"/>
        <w:spacing w:before="0" w:after="120" w:lineRule="auto" w:line="324"/>
      </w:pPr>
      <w:r>
        <w:rPr>
          <w:rFonts w:ascii="Microsoft YaHei" w:hAnsi="Microsoft YaHei" w:eastAsia="Microsoft YaHei"/>
          <w:sz w:val="21"/>
        </w:rPr>
        <w:t>4.6 业务流程外包与运营支持：补充型但真实存在的一条业务线</w:t>
      </w:r>
    </w:p>
    <w:p>
      <w:pPr>
        <w:pStyle w:val="BodyCN"/>
        <w:spacing w:before="0" w:after="120" w:lineRule="auto" w:line="324"/>
      </w:pPr>
      <w:r>
        <w:rPr>
          <w:rFonts w:ascii="Microsoft YaHei" w:hAnsi="Microsoft YaHei" w:eastAsia="Microsoft YaHei"/>
          <w:sz w:val="21"/>
        </w:rPr>
        <w:t>业务流程外包与运营支持主要解决的是：一些标准化、可持续运营的业务流程，是否可以外包给具备 IT 理解能力和流程管理能力的服务商。[R3][R5]</w:t>
      </w:r>
    </w:p>
    <w:p>
      <w:pPr>
        <w:pStyle w:val="BodyCN"/>
        <w:spacing w:before="0" w:after="120" w:lineRule="auto" w:line="324"/>
      </w:pPr>
      <w:r>
        <w:rPr>
          <w:rFonts w:ascii="Microsoft YaHei" w:hAnsi="Microsoft YaHei" w:eastAsia="Microsoft YaHei"/>
          <w:sz w:val="21"/>
        </w:rPr>
        <w:t>官网当前对这条线的定义比较简明，列举的场景包括互联网零售业务支持、客户服务中心、数据标注等；公司时间轴显示，2018 年公司开始发展 BPO 业务。[R1][R3]</w:t>
      </w:r>
    </w:p>
    <w:p>
      <w:pPr>
        <w:pStyle w:val="BodyCN"/>
        <w:spacing w:before="0" w:after="120" w:lineRule="auto" w:line="324"/>
      </w:pPr>
      <w:r>
        <w:rPr>
          <w:rFonts w:ascii="Microsoft YaHei" w:hAnsi="Microsoft YaHei" w:eastAsia="Microsoft YaHei"/>
          <w:sz w:val="21"/>
        </w:rPr>
        <w:t>公司介绍材料把这块写得更细，覆盖：在线与热线客服、技术支持与后台办公、桌面/笔记本/网络/软件支持、L1/L2 支持、系统监控和远程管理、服务器和网络管理、内容运营与线上线下运营、数据采集与分析、纠纷处理、财务/税务/法务流程支持，以及多语言的信息处理、审核、校验、编辑、录入、修正与评测等。[R5]</w:t>
      </w:r>
    </w:p>
    <w:p>
      <w:pPr>
        <w:pStyle w:val="BodyCN"/>
        <w:spacing w:before="0" w:after="120" w:lineRule="auto" w:line="324"/>
      </w:pPr>
      <w:r>
        <w:rPr>
          <w:rFonts w:ascii="Microsoft YaHei" w:hAnsi="Microsoft YaHei" w:eastAsia="Microsoft YaHei"/>
          <w:sz w:val="21"/>
        </w:rPr>
        <w:t>因此，这条线虽然不是公司最核心的价值锚点，但并不是“可忽略的其他”。它反映了柯莱特把 IT 理解能力延伸到运营流程与支持流程的能力，也为其长期客户关系和交叉销售提供了抓手。[R1][R5]</w:t>
      </w:r>
    </w:p>
    <w:p>
      <w:pPr>
        <w:pStyle w:val="Heading1CN"/>
        <w:spacing w:before="0" w:after="120" w:lineRule="auto" w:line="324"/>
      </w:pPr>
      <w:r>
        <w:rPr>
          <w:rFonts w:ascii="Microsoft YaHei" w:hAnsi="Microsoft YaHei" w:eastAsia="Microsoft YaHei"/>
          <w:sz w:val="21"/>
        </w:rPr>
        <w:t>五、交付资源层：为什么“信息技术外包/离岸交付/运维中心”不应单列为一级业务</w:t>
      </w:r>
    </w:p>
    <w:p>
      <w:pPr>
        <w:pStyle w:val="BodyCN"/>
        <w:spacing w:before="0" w:after="120" w:lineRule="auto" w:line="324"/>
      </w:pPr>
      <w:r>
        <w:rPr>
          <w:rFonts w:ascii="Microsoft YaHei" w:hAnsi="Microsoft YaHei" w:eastAsia="Microsoft YaHei"/>
          <w:sz w:val="21"/>
        </w:rPr>
        <w:t>之所以在 V4 中不再把“交付运营与资源服务”单列为一级业务，是因为它回答的是“公司怎么交付”，而不是“客户买什么”。同一批开发、实施和运维人员，完全可能同时服务于 SAP 项目、金融项目、制造项目和物流项目；把交付方式与业务内容放在同一层，分类会天然重叠。[R1][R2][R6]</w:t>
      </w:r>
    </w:p>
    <w:p>
      <w:pPr>
        <w:pStyle w:val="BodyCN"/>
        <w:spacing w:before="0" w:after="120" w:lineRule="auto" w:line="324"/>
      </w:pPr>
      <w:r>
        <w:rPr>
          <w:rFonts w:ascii="Microsoft YaHei" w:hAnsi="Microsoft YaHei" w:eastAsia="Microsoft YaHei"/>
          <w:sz w:val="21"/>
        </w:rPr>
        <w:t>官网和公司介绍材料都显示，柯莱特在全国有多个交付中心，覆盖信息技术外包、业务流程外包、应用维护，并支持现场、近岸和离岸交付。官网还将 IT Technical &amp; Staffing Services、Offshore Development Center Services、Cloud Services 单独列为核心服务子项，说明公司具备跨地域、跨模式、跨客户组织交付资源的能力。[R1][R2]</w:t>
      </w:r>
    </w:p>
    <w:p>
      <w:pPr>
        <w:pStyle w:val="BodyCN"/>
        <w:spacing w:before="0" w:after="120" w:lineRule="auto" w:line="324"/>
      </w:pPr>
      <w:r>
        <w:rPr>
          <w:rFonts w:ascii="Microsoft YaHei" w:hAnsi="Microsoft YaHei" w:eastAsia="Microsoft YaHei"/>
          <w:sz w:val="21"/>
        </w:rPr>
        <w:t>因此，在本报告中，信息技术外包、离岸开发中心、系统迁移交付、远程运维支持中心、现场支持队伍等，被统一视为“资源层/交付层”，并按项目归属分摊回六条一级业务线。</w:t>
      </w:r>
    </w:p>
    <w:p>
      <w:pPr>
        <w:pStyle w:val="Heading2CN"/>
        <w:spacing w:before="0" w:after="120" w:lineRule="auto" w:line="324"/>
      </w:pPr>
      <w:r>
        <w:rPr>
          <w:rFonts w:ascii="Microsoft YaHei" w:hAnsi="Microsoft YaHei" w:eastAsia="Microsoft YaHei"/>
          <w:sz w:val="21"/>
        </w:rPr>
        <w:t>5.1 交付资源层的公开轮廓</w:t>
      </w:r>
    </w:p>
    <w:tbl>
      <w:tblPr>
        <w:tblW w:type="auto" w:w="0"/>
        <w:jc w:val="center"/>
        <w:tblLayout w:type="fixed"/>
        <w:tblLook w:firstColumn="1" w:firstRow="1" w:lastColumn="0" w:lastRow="0" w:noHBand="0" w:noVBand="1" w:val="04A0"/>
      </w:tblPr>
      <w:tblGrid>
        <w:gridCol w:w="1984"/>
        <w:gridCol w:w="2948"/>
        <w:gridCol w:w="3515"/>
        <w:gridCol w:w="1020"/>
      </w:tblGrid>
      <w:tr>
        <w:tc>
          <w:tcPr>
            <w:tcW w:type="dxa" w:w="2353"/>
            <w:vAlign w:val="center"/>
            <w:shd w:fill="4F81BD"/>
          </w:tcPr>
          <w:p>
            <w:pPr>
              <w:spacing w:after="0" w:before="0" w:lineRule="auto" w:line="283"/>
              <w:jc w:val="center"/>
            </w:pPr>
            <w:r/>
            <w:r>
              <w:rPr>
                <w:rFonts w:ascii="Microsoft YaHei" w:hAnsi="Microsoft YaHei" w:eastAsia="Microsoft YaHei"/>
                <w:b/>
                <w:color w:val="FFFFFF"/>
                <w:sz w:val="18"/>
              </w:rPr>
              <w:t>资源层模块</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8"/>
              </w:rPr>
              <w:t>公开描述</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8"/>
              </w:rPr>
              <w:t>在 V4 中的处理方式</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8"/>
              </w:rPr>
              <w:t>来源</w:t>
            </w:r>
          </w:p>
        </w:tc>
      </w:tr>
      <w:tr>
        <w:tc>
          <w:tcPr>
            <w:tcW w:type="dxa" w:w="1984"/>
            <w:vAlign w:val="center"/>
          </w:tcPr>
          <w:p>
            <w:pPr>
              <w:spacing w:after="0" w:before="0" w:lineRule="auto" w:line="283"/>
              <w:jc w:val="left"/>
            </w:pPr>
            <w:r/>
            <w:r>
              <w:rPr>
                <w:rFonts w:ascii="Microsoft YaHei" w:hAnsi="Microsoft YaHei" w:eastAsia="Microsoft YaHei"/>
                <w:b w:val="0"/>
                <w:sz w:val="18"/>
              </w:rPr>
              <w:t>技术与人员服务</w:t>
            </w:r>
          </w:p>
        </w:tc>
        <w:tc>
          <w:tcPr>
            <w:tcW w:type="dxa" w:w="2948"/>
            <w:vAlign w:val="center"/>
          </w:tcPr>
          <w:p>
            <w:pPr>
              <w:spacing w:after="0" w:before="0" w:lineRule="auto" w:line="283"/>
              <w:jc w:val="left"/>
            </w:pPr>
            <w:r/>
            <w:r>
              <w:rPr>
                <w:rFonts w:ascii="Microsoft YaHei" w:hAnsi="Microsoft YaHei" w:eastAsia="Microsoft YaHei"/>
                <w:b w:val="0"/>
                <w:sz w:val="18"/>
              </w:rPr>
              <w:t>远程交付中心（异地、近岸），以及开发、测试、界面设计、数据建模、ERP 顾问等全技能人力服务。</w:t>
            </w:r>
          </w:p>
        </w:tc>
        <w:tc>
          <w:tcPr>
            <w:tcW w:type="dxa" w:w="3515"/>
            <w:vAlign w:val="center"/>
          </w:tcPr>
          <w:p>
            <w:pPr>
              <w:spacing w:after="0" w:before="0" w:lineRule="auto" w:line="283"/>
              <w:jc w:val="left"/>
            </w:pPr>
            <w:r/>
            <w:r>
              <w:rPr>
                <w:rFonts w:ascii="Microsoft YaHei" w:hAnsi="Microsoft YaHei" w:eastAsia="Microsoft YaHei"/>
                <w:b w:val="0"/>
                <w:sz w:val="18"/>
              </w:rPr>
              <w:t>不单列为一级业务；按项目归入 SAP/金融/制造等业务线。</w:t>
            </w:r>
          </w:p>
        </w:tc>
        <w:tc>
          <w:tcPr>
            <w:tcW w:type="dxa" w:w="1020"/>
            <w:vAlign w:val="center"/>
          </w:tcPr>
          <w:p>
            <w:pPr>
              <w:spacing w:after="0" w:before="0" w:lineRule="auto" w:line="283"/>
              <w:jc w:val="center"/>
            </w:pPr>
            <w:r/>
            <w:r>
              <w:rPr>
                <w:rFonts w:ascii="Microsoft YaHei" w:hAnsi="Microsoft YaHei" w:eastAsia="Microsoft YaHei"/>
                <w:b w:val="0"/>
                <w:sz w:val="18"/>
              </w:rPr>
              <w:t>[R2]</w:t>
            </w:r>
          </w:p>
        </w:tc>
      </w:tr>
      <w:tr>
        <w:tc>
          <w:tcPr>
            <w:tcW w:type="dxa" w:w="1984"/>
            <w:vAlign w:val="center"/>
          </w:tcPr>
          <w:p>
            <w:pPr>
              <w:spacing w:after="0" w:before="0" w:lineRule="auto" w:line="283"/>
              <w:jc w:val="left"/>
            </w:pPr>
            <w:r/>
            <w:r>
              <w:rPr>
                <w:rFonts w:ascii="Microsoft YaHei" w:hAnsi="Microsoft YaHei" w:eastAsia="Microsoft YaHei"/>
                <w:b w:val="0"/>
                <w:sz w:val="18"/>
              </w:rPr>
              <w:t>离岸开发中心</w:t>
            </w:r>
          </w:p>
        </w:tc>
        <w:tc>
          <w:tcPr>
            <w:tcW w:type="dxa" w:w="2948"/>
            <w:vAlign w:val="center"/>
          </w:tcPr>
          <w:p>
            <w:pPr>
              <w:spacing w:after="0" w:before="0" w:lineRule="auto" w:line="283"/>
              <w:jc w:val="left"/>
            </w:pPr>
            <w:r/>
            <w:r>
              <w:rPr>
                <w:rFonts w:ascii="Microsoft YaHei" w:hAnsi="Microsoft YaHei" w:eastAsia="Microsoft YaHei"/>
                <w:b w:val="0"/>
                <w:sz w:val="18"/>
              </w:rPr>
              <w:t>系统迁移、软件开发与测试、系统运维服务。</w:t>
            </w:r>
          </w:p>
        </w:tc>
        <w:tc>
          <w:tcPr>
            <w:tcW w:type="dxa" w:w="3515"/>
            <w:vAlign w:val="center"/>
          </w:tcPr>
          <w:p>
            <w:pPr>
              <w:spacing w:after="0" w:before="0" w:lineRule="auto" w:line="283"/>
              <w:jc w:val="left"/>
            </w:pPr>
            <w:r/>
            <w:r>
              <w:rPr>
                <w:rFonts w:ascii="Microsoft YaHei" w:hAnsi="Microsoft YaHei" w:eastAsia="Microsoft YaHei"/>
                <w:b w:val="0"/>
                <w:sz w:val="18"/>
              </w:rPr>
              <w:t>作为跨项目共享交付能力处理。</w:t>
            </w:r>
          </w:p>
        </w:tc>
        <w:tc>
          <w:tcPr>
            <w:tcW w:type="dxa" w:w="1020"/>
            <w:vAlign w:val="center"/>
          </w:tcPr>
          <w:p>
            <w:pPr>
              <w:spacing w:after="0" w:before="0" w:lineRule="auto" w:line="283"/>
              <w:jc w:val="center"/>
            </w:pPr>
            <w:r/>
            <w:r>
              <w:rPr>
                <w:rFonts w:ascii="Microsoft YaHei" w:hAnsi="Microsoft YaHei" w:eastAsia="Microsoft YaHei"/>
                <w:b w:val="0"/>
                <w:sz w:val="18"/>
              </w:rPr>
              <w:t>[R2][R5]</w:t>
            </w:r>
          </w:p>
        </w:tc>
      </w:tr>
      <w:tr>
        <w:tc>
          <w:tcPr>
            <w:tcW w:type="dxa" w:w="1984"/>
            <w:vAlign w:val="center"/>
          </w:tcPr>
          <w:p>
            <w:pPr>
              <w:spacing w:after="0" w:before="0" w:lineRule="auto" w:line="283"/>
              <w:jc w:val="left"/>
            </w:pPr>
            <w:r/>
            <w:r>
              <w:rPr>
                <w:rFonts w:ascii="Microsoft YaHei" w:hAnsi="Microsoft YaHei" w:eastAsia="Microsoft YaHei"/>
                <w:b w:val="0"/>
                <w:sz w:val="18"/>
              </w:rPr>
              <w:t>云服务支撑</w:t>
            </w:r>
          </w:p>
        </w:tc>
        <w:tc>
          <w:tcPr>
            <w:tcW w:type="dxa" w:w="2948"/>
            <w:vAlign w:val="center"/>
          </w:tcPr>
          <w:p>
            <w:pPr>
              <w:spacing w:after="0" w:before="0" w:lineRule="auto" w:line="283"/>
              <w:jc w:val="left"/>
            </w:pPr>
            <w:r/>
            <w:r>
              <w:rPr>
                <w:rFonts w:ascii="Microsoft YaHei" w:hAnsi="Microsoft YaHei" w:eastAsia="Microsoft YaHei"/>
                <w:b w:val="0"/>
                <w:sz w:val="18"/>
              </w:rPr>
              <w:t>云技术人员服务、云上应用迁移、云上应用维护。</w:t>
            </w:r>
          </w:p>
        </w:tc>
        <w:tc>
          <w:tcPr>
            <w:tcW w:type="dxa" w:w="3515"/>
            <w:vAlign w:val="center"/>
          </w:tcPr>
          <w:p>
            <w:pPr>
              <w:spacing w:after="0" w:before="0" w:lineRule="auto" w:line="283"/>
              <w:jc w:val="left"/>
            </w:pPr>
            <w:r/>
            <w:r>
              <w:rPr>
                <w:rFonts w:ascii="Microsoft YaHei" w:hAnsi="Microsoft YaHei" w:eastAsia="Microsoft YaHei"/>
                <w:b w:val="0"/>
                <w:sz w:val="18"/>
              </w:rPr>
              <w:t>按项目归入“通用数字化与上云项目”或具体行业项目。</w:t>
            </w:r>
          </w:p>
        </w:tc>
        <w:tc>
          <w:tcPr>
            <w:tcW w:type="dxa" w:w="1020"/>
            <w:vAlign w:val="center"/>
          </w:tcPr>
          <w:p>
            <w:pPr>
              <w:spacing w:after="0" w:before="0" w:lineRule="auto" w:line="283"/>
              <w:jc w:val="center"/>
            </w:pPr>
            <w:r/>
            <w:r>
              <w:rPr>
                <w:rFonts w:ascii="Microsoft YaHei" w:hAnsi="Microsoft YaHei" w:eastAsia="Microsoft YaHei"/>
                <w:b w:val="0"/>
                <w:sz w:val="18"/>
              </w:rPr>
              <w:t>[R2]</w:t>
            </w:r>
          </w:p>
        </w:tc>
      </w:tr>
      <w:tr>
        <w:tc>
          <w:tcPr>
            <w:tcW w:type="dxa" w:w="1984"/>
            <w:vAlign w:val="center"/>
          </w:tcPr>
          <w:p>
            <w:pPr>
              <w:spacing w:after="0" w:before="0" w:lineRule="auto" w:line="283"/>
              <w:jc w:val="left"/>
            </w:pPr>
            <w:r/>
            <w:r>
              <w:rPr>
                <w:rFonts w:ascii="Microsoft YaHei" w:hAnsi="Microsoft YaHei" w:eastAsia="Microsoft YaHei"/>
                <w:b w:val="0"/>
                <w:sz w:val="18"/>
              </w:rPr>
              <w:t>远程运维支持中心 + 现场模式</w:t>
            </w:r>
          </w:p>
        </w:tc>
        <w:tc>
          <w:tcPr>
            <w:tcW w:type="dxa" w:w="2948"/>
            <w:vAlign w:val="center"/>
          </w:tcPr>
          <w:p>
            <w:pPr>
              <w:spacing w:after="0" w:before="0" w:lineRule="auto" w:line="283"/>
              <w:jc w:val="left"/>
            </w:pPr>
            <w:r/>
            <w:r>
              <w:rPr>
                <w:rFonts w:ascii="Microsoft YaHei" w:hAnsi="Microsoft YaHei" w:eastAsia="Microsoft YaHei"/>
                <w:b w:val="0"/>
                <w:sz w:val="18"/>
              </w:rPr>
              <w:t>面向 SAP ERP 和第三方企业应用的升级、部署、维护与支持。</w:t>
            </w:r>
          </w:p>
        </w:tc>
        <w:tc>
          <w:tcPr>
            <w:tcW w:type="dxa" w:w="3515"/>
            <w:vAlign w:val="center"/>
          </w:tcPr>
          <w:p>
            <w:pPr>
              <w:spacing w:after="0" w:before="0" w:lineRule="auto" w:line="283"/>
              <w:jc w:val="left"/>
            </w:pPr>
            <w:r/>
            <w:r>
              <w:rPr>
                <w:rFonts w:ascii="Microsoft YaHei" w:hAnsi="Microsoft YaHei" w:eastAsia="Microsoft YaHei"/>
                <w:b w:val="0"/>
                <w:sz w:val="18"/>
              </w:rPr>
              <w:t>作为企业应用服务的交付方式，不单列为一级业务。</w:t>
            </w:r>
          </w:p>
        </w:tc>
        <w:tc>
          <w:tcPr>
            <w:tcW w:type="dxa" w:w="1020"/>
            <w:vAlign w:val="center"/>
          </w:tcPr>
          <w:p>
            <w:pPr>
              <w:spacing w:after="0" w:before="0" w:lineRule="auto" w:line="283"/>
              <w:jc w:val="center"/>
            </w:pPr>
            <w:r/>
            <w:r>
              <w:rPr>
                <w:rFonts w:ascii="Microsoft YaHei" w:hAnsi="Microsoft YaHei" w:eastAsia="Microsoft YaHei"/>
                <w:b w:val="0"/>
                <w:sz w:val="18"/>
              </w:rPr>
              <w:t>[R3]</w:t>
            </w:r>
          </w:p>
        </w:tc>
      </w:tr>
      <w:tr>
        <w:tc>
          <w:tcPr>
            <w:tcW w:type="dxa" w:w="1984"/>
            <w:vAlign w:val="center"/>
          </w:tcPr>
          <w:p>
            <w:pPr>
              <w:spacing w:after="0" w:before="0" w:lineRule="auto" w:line="283"/>
              <w:jc w:val="left"/>
            </w:pPr>
            <w:r/>
            <w:r>
              <w:rPr>
                <w:rFonts w:ascii="Microsoft YaHei" w:hAnsi="Microsoft YaHei" w:eastAsia="Microsoft YaHei"/>
                <w:b w:val="0"/>
                <w:sz w:val="18"/>
              </w:rPr>
              <w:t>现场/近岸/离岸组合交付</w:t>
            </w:r>
          </w:p>
        </w:tc>
        <w:tc>
          <w:tcPr>
            <w:tcW w:type="dxa" w:w="2948"/>
            <w:vAlign w:val="center"/>
          </w:tcPr>
          <w:p>
            <w:pPr>
              <w:spacing w:after="0" w:before="0" w:lineRule="auto" w:line="283"/>
              <w:jc w:val="left"/>
            </w:pPr>
            <w:r/>
            <w:r>
              <w:rPr>
                <w:rFonts w:ascii="Microsoft YaHei" w:hAnsi="Microsoft YaHei" w:eastAsia="Microsoft YaHei"/>
                <w:b w:val="0"/>
                <w:sz w:val="18"/>
              </w:rPr>
              <w:t>官网明确强调组合式交付模式和全国资源网络。</w:t>
            </w:r>
          </w:p>
        </w:tc>
        <w:tc>
          <w:tcPr>
            <w:tcW w:type="dxa" w:w="3515"/>
            <w:vAlign w:val="center"/>
          </w:tcPr>
          <w:p>
            <w:pPr>
              <w:spacing w:after="0" w:before="0" w:lineRule="auto" w:line="283"/>
              <w:jc w:val="left"/>
            </w:pPr>
            <w:r/>
            <w:r>
              <w:rPr>
                <w:rFonts w:ascii="Microsoft YaHei" w:hAnsi="Microsoft YaHei" w:eastAsia="Microsoft YaHei"/>
                <w:b w:val="0"/>
                <w:sz w:val="18"/>
              </w:rPr>
              <w:t>解释公司规模化交付能力，而非单独需求赛道。</w:t>
            </w:r>
          </w:p>
        </w:tc>
        <w:tc>
          <w:tcPr>
            <w:tcW w:type="dxa" w:w="1020"/>
            <w:vAlign w:val="center"/>
          </w:tcPr>
          <w:p>
            <w:pPr>
              <w:spacing w:after="0" w:before="0" w:lineRule="auto" w:line="283"/>
              <w:jc w:val="center"/>
            </w:pPr>
            <w:r/>
            <w:r>
              <w:rPr>
                <w:rFonts w:ascii="Microsoft YaHei" w:hAnsi="Microsoft YaHei" w:eastAsia="Microsoft YaHei"/>
                <w:b w:val="0"/>
                <w:sz w:val="18"/>
              </w:rPr>
              <w:t>[R1]</w:t>
            </w:r>
          </w:p>
        </w:tc>
      </w:tr>
    </w:tbl>
    <w:p/>
    <w:p>
      <w:pPr>
        <w:pStyle w:val="Heading1CN"/>
        <w:spacing w:before="0" w:after="120" w:lineRule="auto" w:line="324"/>
      </w:pPr>
      <w:r>
        <w:rPr>
          <w:rFonts w:ascii="Microsoft YaHei" w:hAnsi="Microsoft YaHei" w:eastAsia="Microsoft YaHei"/>
          <w:sz w:val="21"/>
        </w:rPr>
        <w:t>六、人员结构与组织特点</w:t>
      </w:r>
    </w:p>
    <w:p>
      <w:pPr>
        <w:pStyle w:val="BodyCN"/>
        <w:spacing w:before="0" w:after="120" w:lineRule="auto" w:line="324"/>
      </w:pPr>
      <w:r>
        <w:rPr>
          <w:rFonts w:ascii="Microsoft YaHei" w:hAnsi="Microsoft YaHei" w:eastAsia="Microsoft YaHei"/>
          <w:sz w:val="21"/>
        </w:rPr>
        <w:t>最贴近柯莱特本体的公开人员结构，来自金山云 2022 年香港上市文件中的 Camelot Group 单独披露：截至 2022 年 6 月 30 日，Camelot Group 共 8,028 人，其中研发 127 人（1.6%）、销售与市场 140 人（1.7%）、一般及行政 482 人（6.0%）、解决方案开发及服务 7,279 人（90.7%）。文件还特别说明，这 7,279 人主要从事软件和应用开发，以及相关部署和实施服务。[R6]</w:t>
      </w:r>
    </w:p>
    <w:p>
      <w:pPr>
        <w:pStyle w:val="BodyCN"/>
        <w:spacing w:before="0" w:after="120" w:lineRule="auto" w:line="324"/>
      </w:pPr>
      <w:r>
        <w:rPr>
          <w:rFonts w:ascii="Microsoft YaHei" w:hAnsi="Microsoft YaHei" w:eastAsia="Microsoft YaHei"/>
          <w:sz w:val="21"/>
        </w:rPr>
        <w:t>并表后的集团口径也支持这一判断。截至 2024 年 12 月 31 日，金山云集团共 12,335 人，其中解决方案开发及服务 10,159 人，占 82.4%；截至 2025 年 12 月 31 日，集团共 15,225 人，其中解决方案开发及服务 12,947 人，占 85.0%。这说明并表后集团的人力主体仍然是以项目开发、实施和服务交付为核心，而不是以销售或纯研发为主。[R8][R9]</w:t>
      </w:r>
    </w:p>
    <w:p>
      <w:pPr>
        <w:pStyle w:val="BodyCN"/>
        <w:spacing w:before="0" w:after="120" w:lineRule="auto" w:line="324"/>
      </w:pPr>
      <w:r>
        <w:rPr>
          <w:rFonts w:ascii="Microsoft YaHei" w:hAnsi="Microsoft YaHei" w:eastAsia="Microsoft YaHei"/>
          <w:sz w:val="21"/>
        </w:rPr>
        <w:t>这组数据有两个含义。第一，柯莱特本质上是一家重交付公司，其组织和利润模型都围绕“交付资源利用率”展开；第二，所谓信息技术外包、运维支持、实施顾问等，本质上都是这批“解决方案开发及服务”人员在不同项目上的不同表现形态。[R6][R8][R9]</w:t>
      </w:r>
    </w:p>
    <w:p>
      <w:pPr>
        <w:pStyle w:val="Heading2CN"/>
        <w:spacing w:before="0" w:after="120" w:lineRule="auto" w:line="324"/>
      </w:pPr>
      <w:r>
        <w:rPr>
          <w:rFonts w:ascii="Microsoft YaHei" w:hAnsi="Microsoft YaHei" w:eastAsia="Microsoft YaHei"/>
          <w:sz w:val="21"/>
        </w:rPr>
        <w:t>6.1 公开人员结构对比表</w:t>
      </w:r>
    </w:p>
    <w:tbl>
      <w:tblPr>
        <w:tblW w:type="auto" w:w="0"/>
        <w:jc w:val="center"/>
        <w:tblLayout w:type="fixed"/>
        <w:tblLook w:firstColumn="1" w:firstRow="1" w:lastColumn="0" w:lastRow="0" w:noHBand="0" w:noVBand="1" w:val="04A0"/>
      </w:tblPr>
      <w:tblGrid>
        <w:gridCol w:w="2041"/>
        <w:gridCol w:w="1247"/>
        <w:gridCol w:w="1247"/>
        <w:gridCol w:w="1247"/>
        <w:gridCol w:w="1531"/>
        <w:gridCol w:w="1191"/>
      </w:tblGrid>
      <w:tr>
        <w:tc>
          <w:tcPr>
            <w:tcW w:type="dxa" w:w="1569"/>
            <w:vAlign w:val="center"/>
            <w:shd w:fill="4F81BD"/>
          </w:tcPr>
          <w:p>
            <w:pPr>
              <w:spacing w:after="0" w:before="0" w:lineRule="auto" w:line="283"/>
              <w:jc w:val="center"/>
            </w:pPr>
            <w:r/>
            <w:r>
              <w:rPr>
                <w:rFonts w:ascii="Microsoft YaHei" w:hAnsi="Microsoft YaHei" w:eastAsia="Microsoft YaHei"/>
                <w:b/>
                <w:color w:val="FFFFFF"/>
                <w:sz w:val="18"/>
              </w:rPr>
              <w:t>口径</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研发</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销售与市场</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一般及行政</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解决方案开发及服务</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来源</w:t>
            </w:r>
          </w:p>
        </w:tc>
      </w:tr>
      <w:tr>
        <w:tc>
          <w:tcPr>
            <w:tcW w:type="dxa" w:w="2041"/>
            <w:vAlign w:val="center"/>
          </w:tcPr>
          <w:p>
            <w:pPr>
              <w:spacing w:after="0" w:before="0" w:lineRule="auto" w:line="283"/>
              <w:jc w:val="center"/>
            </w:pPr>
            <w:r/>
            <w:r>
              <w:rPr>
                <w:rFonts w:ascii="Microsoft YaHei" w:hAnsi="Microsoft YaHei" w:eastAsia="Microsoft YaHei"/>
                <w:b w:val="0"/>
                <w:sz w:val="18"/>
              </w:rPr>
              <w:t>Camelot Group（2022-06-30）</w:t>
            </w:r>
          </w:p>
        </w:tc>
        <w:tc>
          <w:tcPr>
            <w:tcW w:type="dxa" w:w="1247"/>
            <w:vAlign w:val="center"/>
          </w:tcPr>
          <w:p>
            <w:pPr>
              <w:spacing w:after="0" w:before="0" w:lineRule="auto" w:line="283"/>
              <w:jc w:val="center"/>
            </w:pPr>
            <w:r/>
            <w:r>
              <w:rPr>
                <w:rFonts w:ascii="Microsoft YaHei" w:hAnsi="Microsoft YaHei" w:eastAsia="Microsoft YaHei"/>
                <w:b w:val="0"/>
                <w:sz w:val="18"/>
              </w:rPr>
              <w:t>127（1.6%）</w:t>
            </w:r>
          </w:p>
        </w:tc>
        <w:tc>
          <w:tcPr>
            <w:tcW w:type="dxa" w:w="1247"/>
            <w:vAlign w:val="center"/>
          </w:tcPr>
          <w:p>
            <w:pPr>
              <w:spacing w:after="0" w:before="0" w:lineRule="auto" w:line="283"/>
              <w:jc w:val="center"/>
            </w:pPr>
            <w:r/>
            <w:r>
              <w:rPr>
                <w:rFonts w:ascii="Microsoft YaHei" w:hAnsi="Microsoft YaHei" w:eastAsia="Microsoft YaHei"/>
                <w:b w:val="0"/>
                <w:sz w:val="18"/>
              </w:rPr>
              <w:t>140（1.7%）</w:t>
            </w:r>
          </w:p>
        </w:tc>
        <w:tc>
          <w:tcPr>
            <w:tcW w:type="dxa" w:w="1247"/>
            <w:vAlign w:val="center"/>
          </w:tcPr>
          <w:p>
            <w:pPr>
              <w:spacing w:after="0" w:before="0" w:lineRule="auto" w:line="283"/>
              <w:jc w:val="center"/>
            </w:pPr>
            <w:r/>
            <w:r>
              <w:rPr>
                <w:rFonts w:ascii="Microsoft YaHei" w:hAnsi="Microsoft YaHei" w:eastAsia="Microsoft YaHei"/>
                <w:b w:val="0"/>
                <w:sz w:val="18"/>
              </w:rPr>
              <w:t>482（6.0%）</w:t>
            </w:r>
          </w:p>
        </w:tc>
        <w:tc>
          <w:tcPr>
            <w:tcW w:type="dxa" w:w="1531"/>
            <w:vAlign w:val="center"/>
          </w:tcPr>
          <w:p>
            <w:pPr>
              <w:spacing w:after="0" w:before="0" w:lineRule="auto" w:line="283"/>
              <w:jc w:val="center"/>
            </w:pPr>
            <w:r/>
            <w:r>
              <w:rPr>
                <w:rFonts w:ascii="Microsoft YaHei" w:hAnsi="Microsoft YaHei" w:eastAsia="Microsoft YaHei"/>
                <w:b w:val="0"/>
                <w:sz w:val="18"/>
              </w:rPr>
              <w:t>7,279（90.7%）</w:t>
            </w:r>
          </w:p>
        </w:tc>
        <w:tc>
          <w:tcPr>
            <w:tcW w:type="dxa" w:w="1191"/>
            <w:vAlign w:val="center"/>
          </w:tcPr>
          <w:p>
            <w:pPr>
              <w:spacing w:after="0" w:before="0" w:lineRule="auto" w:line="283"/>
              <w:jc w:val="center"/>
            </w:pPr>
            <w:r/>
            <w:r>
              <w:rPr>
                <w:rFonts w:ascii="Microsoft YaHei" w:hAnsi="Microsoft YaHei" w:eastAsia="Microsoft YaHei"/>
                <w:b w:val="0"/>
                <w:sz w:val="18"/>
              </w:rPr>
              <w:t>[R6]</w:t>
            </w:r>
          </w:p>
        </w:tc>
      </w:tr>
      <w:tr>
        <w:tc>
          <w:tcPr>
            <w:tcW w:type="dxa" w:w="2041"/>
            <w:vAlign w:val="center"/>
          </w:tcPr>
          <w:p>
            <w:pPr>
              <w:spacing w:after="0" w:before="0" w:lineRule="auto" w:line="283"/>
              <w:jc w:val="center"/>
            </w:pPr>
            <w:r/>
            <w:r>
              <w:rPr>
                <w:rFonts w:ascii="Microsoft YaHei" w:hAnsi="Microsoft YaHei" w:eastAsia="Microsoft YaHei"/>
                <w:b w:val="0"/>
                <w:sz w:val="18"/>
              </w:rPr>
              <w:t>金山云集团（2024-12-31）</w:t>
            </w:r>
          </w:p>
        </w:tc>
        <w:tc>
          <w:tcPr>
            <w:tcW w:type="dxa" w:w="1247"/>
            <w:vAlign w:val="center"/>
          </w:tcPr>
          <w:p>
            <w:pPr>
              <w:spacing w:after="0" w:before="0" w:lineRule="auto" w:line="283"/>
              <w:jc w:val="center"/>
            </w:pPr>
            <w:r/>
            <w:r>
              <w:rPr>
                <w:rFonts w:ascii="Microsoft YaHei" w:hAnsi="Microsoft YaHei" w:eastAsia="Microsoft YaHei"/>
                <w:b w:val="0"/>
                <w:sz w:val="18"/>
              </w:rPr>
              <w:t>1,188（9.6%）</w:t>
            </w:r>
          </w:p>
        </w:tc>
        <w:tc>
          <w:tcPr>
            <w:tcW w:type="dxa" w:w="1247"/>
            <w:vAlign w:val="center"/>
          </w:tcPr>
          <w:p>
            <w:pPr>
              <w:spacing w:after="0" w:before="0" w:lineRule="auto" w:line="283"/>
              <w:jc w:val="center"/>
            </w:pPr>
            <w:r/>
            <w:r>
              <w:rPr>
                <w:rFonts w:ascii="Microsoft YaHei" w:hAnsi="Microsoft YaHei" w:eastAsia="Microsoft YaHei"/>
                <w:b w:val="0"/>
                <w:sz w:val="18"/>
              </w:rPr>
              <w:t>340（2.8%）</w:t>
            </w:r>
          </w:p>
        </w:tc>
        <w:tc>
          <w:tcPr>
            <w:tcW w:type="dxa" w:w="1247"/>
            <w:vAlign w:val="center"/>
          </w:tcPr>
          <w:p>
            <w:pPr>
              <w:spacing w:after="0" w:before="0" w:lineRule="auto" w:line="283"/>
              <w:jc w:val="center"/>
            </w:pPr>
            <w:r/>
            <w:r>
              <w:rPr>
                <w:rFonts w:ascii="Microsoft YaHei" w:hAnsi="Microsoft YaHei" w:eastAsia="Microsoft YaHei"/>
                <w:b w:val="0"/>
                <w:sz w:val="18"/>
              </w:rPr>
              <w:t>648（5.2%）</w:t>
            </w:r>
          </w:p>
        </w:tc>
        <w:tc>
          <w:tcPr>
            <w:tcW w:type="dxa" w:w="1531"/>
            <w:vAlign w:val="center"/>
          </w:tcPr>
          <w:p>
            <w:pPr>
              <w:spacing w:after="0" w:before="0" w:lineRule="auto" w:line="283"/>
              <w:jc w:val="center"/>
            </w:pPr>
            <w:r/>
            <w:r>
              <w:rPr>
                <w:rFonts w:ascii="Microsoft YaHei" w:hAnsi="Microsoft YaHei" w:eastAsia="Microsoft YaHei"/>
                <w:b w:val="0"/>
                <w:sz w:val="18"/>
              </w:rPr>
              <w:t>10,159（82.4%）</w:t>
            </w:r>
          </w:p>
        </w:tc>
        <w:tc>
          <w:tcPr>
            <w:tcW w:type="dxa" w:w="1191"/>
            <w:vAlign w:val="center"/>
          </w:tcPr>
          <w:p>
            <w:pPr>
              <w:spacing w:after="0" w:before="0" w:lineRule="auto" w:line="283"/>
              <w:jc w:val="center"/>
            </w:pPr>
            <w:r/>
            <w:r>
              <w:rPr>
                <w:rFonts w:ascii="Microsoft YaHei" w:hAnsi="Microsoft YaHei" w:eastAsia="Microsoft YaHei"/>
                <w:b w:val="0"/>
                <w:sz w:val="18"/>
              </w:rPr>
              <w:t>[R8]</w:t>
            </w:r>
          </w:p>
        </w:tc>
      </w:tr>
      <w:tr>
        <w:tc>
          <w:tcPr>
            <w:tcW w:type="dxa" w:w="2041"/>
            <w:vAlign w:val="center"/>
          </w:tcPr>
          <w:p>
            <w:pPr>
              <w:spacing w:after="0" w:before="0" w:lineRule="auto" w:line="283"/>
              <w:jc w:val="center"/>
            </w:pPr>
            <w:r/>
            <w:r>
              <w:rPr>
                <w:rFonts w:ascii="Microsoft YaHei" w:hAnsi="Microsoft YaHei" w:eastAsia="Microsoft YaHei"/>
                <w:b w:val="0"/>
                <w:sz w:val="18"/>
              </w:rPr>
              <w:t>金山云集团（2025-12-31）</w:t>
            </w:r>
          </w:p>
        </w:tc>
        <w:tc>
          <w:tcPr>
            <w:tcW w:type="dxa" w:w="1247"/>
            <w:vAlign w:val="center"/>
          </w:tcPr>
          <w:p>
            <w:pPr>
              <w:spacing w:after="0" w:before="0" w:lineRule="auto" w:line="283"/>
              <w:jc w:val="center"/>
            </w:pPr>
            <w:r/>
            <w:r>
              <w:rPr>
                <w:rFonts w:ascii="Microsoft YaHei" w:hAnsi="Microsoft YaHei" w:eastAsia="Microsoft YaHei"/>
                <w:b w:val="0"/>
                <w:sz w:val="18"/>
              </w:rPr>
              <w:t>1,120（7.4%）</w:t>
            </w:r>
          </w:p>
        </w:tc>
        <w:tc>
          <w:tcPr>
            <w:tcW w:type="dxa" w:w="1247"/>
            <w:vAlign w:val="center"/>
          </w:tcPr>
          <w:p>
            <w:pPr>
              <w:spacing w:after="0" w:before="0" w:lineRule="auto" w:line="283"/>
              <w:jc w:val="center"/>
            </w:pPr>
            <w:r/>
            <w:r>
              <w:rPr>
                <w:rFonts w:ascii="Microsoft YaHei" w:hAnsi="Microsoft YaHei" w:eastAsia="Microsoft YaHei"/>
                <w:b w:val="0"/>
                <w:sz w:val="18"/>
              </w:rPr>
              <w:t>367（2.4%）</w:t>
            </w:r>
          </w:p>
        </w:tc>
        <w:tc>
          <w:tcPr>
            <w:tcW w:type="dxa" w:w="1247"/>
            <w:vAlign w:val="center"/>
          </w:tcPr>
          <w:p>
            <w:pPr>
              <w:spacing w:after="0" w:before="0" w:lineRule="auto" w:line="283"/>
              <w:jc w:val="center"/>
            </w:pPr>
            <w:r/>
            <w:r>
              <w:rPr>
                <w:rFonts w:ascii="Microsoft YaHei" w:hAnsi="Microsoft YaHei" w:eastAsia="Microsoft YaHei"/>
                <w:b w:val="0"/>
                <w:sz w:val="18"/>
              </w:rPr>
              <w:t>791（5.2%）</w:t>
            </w:r>
          </w:p>
        </w:tc>
        <w:tc>
          <w:tcPr>
            <w:tcW w:type="dxa" w:w="1531"/>
            <w:vAlign w:val="center"/>
          </w:tcPr>
          <w:p>
            <w:pPr>
              <w:spacing w:after="0" w:before="0" w:lineRule="auto" w:line="283"/>
              <w:jc w:val="center"/>
            </w:pPr>
            <w:r/>
            <w:r>
              <w:rPr>
                <w:rFonts w:ascii="Microsoft YaHei" w:hAnsi="Microsoft YaHei" w:eastAsia="Microsoft YaHei"/>
                <w:b w:val="0"/>
                <w:sz w:val="18"/>
              </w:rPr>
              <w:t>12,947（85.0%）</w:t>
            </w:r>
          </w:p>
        </w:tc>
        <w:tc>
          <w:tcPr>
            <w:tcW w:type="dxa" w:w="1191"/>
            <w:vAlign w:val="center"/>
          </w:tcPr>
          <w:p>
            <w:pPr>
              <w:spacing w:after="0" w:before="0" w:lineRule="auto" w:line="283"/>
              <w:jc w:val="center"/>
            </w:pPr>
            <w:r/>
            <w:r>
              <w:rPr>
                <w:rFonts w:ascii="Microsoft YaHei" w:hAnsi="Microsoft YaHei" w:eastAsia="Microsoft YaHei"/>
                <w:b w:val="0"/>
                <w:sz w:val="18"/>
              </w:rPr>
              <w:t>[R9]</w:t>
            </w:r>
          </w:p>
        </w:tc>
      </w:tr>
    </w:tbl>
    <w:p/>
    <w:p>
      <w:pPr>
        <w:pStyle w:val="Heading1CN"/>
        <w:spacing w:before="0" w:after="120" w:lineRule="auto" w:line="324"/>
      </w:pPr>
      <w:r>
        <w:rPr>
          <w:rFonts w:ascii="Microsoft YaHei" w:hAnsi="Microsoft YaHei" w:eastAsia="Microsoft YaHei"/>
          <w:sz w:val="21"/>
        </w:rPr>
        <w:t>七、财务表现与经营质量</w:t>
      </w:r>
    </w:p>
    <w:p>
      <w:pPr>
        <w:pStyle w:val="BodyCN"/>
        <w:spacing w:before="0" w:after="120" w:lineRule="auto" w:line="324"/>
      </w:pPr>
      <w:r>
        <w:rPr>
          <w:rFonts w:ascii="Microsoft YaHei" w:hAnsi="Microsoft YaHei" w:eastAsia="Microsoft YaHei"/>
          <w:sz w:val="21"/>
        </w:rPr>
        <w:t>财务部分必须严格区分“柯莱特独立口径”和“并表后母公司观察口径”。前者能说明柯莱特并购前是不是一门稳定赚钱的生意；后者只能说明柯莱特所在业务池在集团层面的增长和组织变化，不能简单等同于柯莱特单体当前财务。[R7][R8][R9]</w:t>
      </w:r>
    </w:p>
    <w:p>
      <w:pPr>
        <w:pStyle w:val="BodyCN"/>
        <w:spacing w:before="0" w:after="120" w:lineRule="auto" w:line="324"/>
      </w:pPr>
      <w:r>
        <w:rPr>
          <w:rFonts w:ascii="Microsoft YaHei" w:hAnsi="Microsoft YaHei" w:eastAsia="Microsoft YaHei"/>
          <w:sz w:val="21"/>
        </w:rPr>
        <w:t>从并购前单体口径看，柯莱特 2019—2020 年收入稳定在 16 亿—17 亿元量级，净利润都在 1.09 亿元左右；2021 年 1 月 1 日至 9 月 3 日收入 12.887 亿元，净利润 0.453 亿元，利润率有所回落，但仍保持盈利。[R7]</w:t>
      </w:r>
    </w:p>
    <w:p>
      <w:pPr>
        <w:pStyle w:val="BodyCN"/>
        <w:spacing w:before="0" w:after="120" w:lineRule="auto" w:line="324"/>
      </w:pPr>
      <w:r>
        <w:rPr>
          <w:rFonts w:ascii="Microsoft YaHei" w:hAnsi="Microsoft YaHei" w:eastAsia="Microsoft YaHei"/>
          <w:sz w:val="21"/>
        </w:rPr>
        <w:t>从并表后观察口径看，金山云企业云收入 2023 年为 26.640 亿元，2024 年为 27.778 亿元，2025 年为 29.251 亿元（未经审计初步业绩）。这不能等同于“柯莱特收入”，但说明其所在业务池仍在增长。[R12][R8][R9]</w:t>
      </w:r>
    </w:p>
    <w:p>
      <w:pPr>
        <w:pStyle w:val="Heading2CN"/>
        <w:spacing w:before="0" w:after="120" w:lineRule="auto" w:line="324"/>
      </w:pPr>
      <w:r>
        <w:rPr>
          <w:rFonts w:ascii="Microsoft YaHei" w:hAnsi="Microsoft YaHei" w:eastAsia="Microsoft YaHei"/>
          <w:sz w:val="21"/>
        </w:rPr>
        <w:t>7.1 柯莱特并购前独立财务（公开可确认）</w:t>
      </w:r>
    </w:p>
    <w:tbl>
      <w:tblPr>
        <w:tblW w:type="auto" w:w="0"/>
        <w:jc w:val="center"/>
        <w:tblLayout w:type="fixed"/>
        <w:tblLook w:firstColumn="1" w:firstRow="1" w:lastColumn="0" w:lastRow="0" w:noHBand="0" w:noVBand="1" w:val="04A0"/>
      </w:tblPr>
      <w:tblGrid>
        <w:gridCol w:w="1474"/>
        <w:gridCol w:w="1417"/>
        <w:gridCol w:w="1417"/>
        <w:gridCol w:w="1361"/>
        <w:gridCol w:w="1191"/>
        <w:gridCol w:w="1474"/>
      </w:tblGrid>
      <w:tr>
        <w:tc>
          <w:tcPr>
            <w:tcW w:type="dxa" w:w="1569"/>
            <w:vAlign w:val="center"/>
            <w:shd w:fill="4F81BD"/>
          </w:tcPr>
          <w:p>
            <w:pPr>
              <w:spacing w:after="0" w:before="0" w:lineRule="auto" w:line="283"/>
              <w:jc w:val="center"/>
            </w:pPr>
            <w:r/>
            <w:r>
              <w:rPr>
                <w:rFonts w:ascii="Microsoft YaHei" w:hAnsi="Microsoft YaHei" w:eastAsia="Microsoft YaHei"/>
                <w:b/>
                <w:color w:val="FFFFFF"/>
                <w:sz w:val="18"/>
              </w:rPr>
              <w:t>期间</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收入</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营业利润</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净利润</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经营现金流</w:t>
            </w:r>
          </w:p>
        </w:tc>
        <w:tc>
          <w:tcPr>
            <w:tcW w:type="dxa" w:w="1569"/>
            <w:vAlign w:val="center"/>
            <w:shd w:fill="4F81BD"/>
          </w:tcPr>
          <w:p>
            <w:pPr>
              <w:spacing w:after="0" w:before="0" w:lineRule="auto" w:line="283"/>
              <w:jc w:val="center"/>
            </w:pPr>
            <w:r/>
            <w:r>
              <w:rPr>
                <w:rFonts w:ascii="Microsoft YaHei" w:hAnsi="Microsoft YaHei" w:eastAsia="Microsoft YaHei"/>
                <w:b/>
                <w:color w:val="FFFFFF"/>
                <w:sz w:val="18"/>
              </w:rPr>
              <w:t>现金及现金等价物</w:t>
            </w:r>
          </w:p>
        </w:tc>
      </w:tr>
      <w:tr>
        <w:tc>
          <w:tcPr>
            <w:tcW w:type="dxa" w:w="1474"/>
            <w:vAlign w:val="center"/>
          </w:tcPr>
          <w:p>
            <w:pPr>
              <w:spacing w:after="0" w:before="0" w:lineRule="auto" w:line="283"/>
              <w:jc w:val="center"/>
            </w:pPr>
            <w:r/>
            <w:r>
              <w:rPr>
                <w:rFonts w:ascii="Microsoft YaHei" w:hAnsi="Microsoft YaHei" w:eastAsia="Microsoft YaHei"/>
                <w:b w:val="0"/>
                <w:sz w:val="18"/>
              </w:rPr>
              <w:t>2019 年</w:t>
            </w:r>
          </w:p>
        </w:tc>
        <w:tc>
          <w:tcPr>
            <w:tcW w:type="dxa" w:w="1417"/>
            <w:vAlign w:val="center"/>
          </w:tcPr>
          <w:p>
            <w:pPr>
              <w:spacing w:after="0" w:before="0" w:lineRule="auto" w:line="283"/>
              <w:jc w:val="center"/>
            </w:pPr>
            <w:r/>
            <w:r>
              <w:rPr>
                <w:rFonts w:ascii="Microsoft YaHei" w:hAnsi="Microsoft YaHei" w:eastAsia="Microsoft YaHei"/>
                <w:b w:val="0"/>
                <w:sz w:val="18"/>
              </w:rPr>
              <w:t>16.476 亿元</w:t>
            </w:r>
          </w:p>
        </w:tc>
        <w:tc>
          <w:tcPr>
            <w:tcW w:type="dxa" w:w="1417"/>
            <w:vAlign w:val="center"/>
          </w:tcPr>
          <w:p>
            <w:pPr>
              <w:spacing w:after="0" w:before="0" w:lineRule="auto" w:line="283"/>
              <w:jc w:val="center"/>
            </w:pPr>
            <w:r/>
            <w:r>
              <w:rPr>
                <w:rFonts w:ascii="Microsoft YaHei" w:hAnsi="Microsoft YaHei" w:eastAsia="Microsoft YaHei"/>
                <w:b w:val="0"/>
                <w:sz w:val="18"/>
              </w:rPr>
              <w:t>1.120 亿元</w:t>
            </w:r>
          </w:p>
        </w:tc>
        <w:tc>
          <w:tcPr>
            <w:tcW w:type="dxa" w:w="1361"/>
            <w:vAlign w:val="center"/>
          </w:tcPr>
          <w:p>
            <w:pPr>
              <w:spacing w:after="0" w:before="0" w:lineRule="auto" w:line="283"/>
              <w:jc w:val="center"/>
            </w:pPr>
            <w:r/>
            <w:r>
              <w:rPr>
                <w:rFonts w:ascii="Microsoft YaHei" w:hAnsi="Microsoft YaHei" w:eastAsia="Microsoft YaHei"/>
                <w:b w:val="0"/>
                <w:sz w:val="18"/>
              </w:rPr>
              <w:t>1.098 亿元</w:t>
            </w:r>
          </w:p>
        </w:tc>
        <w:tc>
          <w:tcPr>
            <w:tcW w:type="dxa" w:w="1191"/>
            <w:vAlign w:val="center"/>
          </w:tcPr>
          <w:p>
            <w:pPr>
              <w:spacing w:after="0" w:before="0" w:lineRule="auto" w:line="283"/>
              <w:jc w:val="center"/>
            </w:pPr>
            <w:r/>
            <w:r>
              <w:rPr>
                <w:rFonts w:ascii="Microsoft YaHei" w:hAnsi="Microsoft YaHei" w:eastAsia="Microsoft YaHei"/>
                <w:b w:val="0"/>
                <w:sz w:val="18"/>
              </w:rPr>
              <w:t>1.103 亿元</w:t>
            </w:r>
          </w:p>
        </w:tc>
        <w:tc>
          <w:tcPr>
            <w:tcW w:type="dxa" w:w="1474"/>
            <w:vAlign w:val="center"/>
          </w:tcPr>
          <w:p>
            <w:pPr>
              <w:spacing w:after="0" w:before="0" w:lineRule="auto" w:line="283"/>
              <w:jc w:val="center"/>
            </w:pPr>
            <w:r/>
            <w:r>
              <w:rPr>
                <w:rFonts w:ascii="Microsoft YaHei" w:hAnsi="Microsoft YaHei" w:eastAsia="Microsoft YaHei"/>
                <w:b w:val="0"/>
                <w:sz w:val="18"/>
              </w:rPr>
              <w:t>4.742 亿元</w:t>
            </w:r>
          </w:p>
        </w:tc>
      </w:tr>
      <w:tr>
        <w:tc>
          <w:tcPr>
            <w:tcW w:type="dxa" w:w="1474"/>
            <w:vAlign w:val="center"/>
          </w:tcPr>
          <w:p>
            <w:pPr>
              <w:spacing w:after="0" w:before="0" w:lineRule="auto" w:line="283"/>
              <w:jc w:val="center"/>
            </w:pPr>
            <w:r/>
            <w:r>
              <w:rPr>
                <w:rFonts w:ascii="Microsoft YaHei" w:hAnsi="Microsoft YaHei" w:eastAsia="Microsoft YaHei"/>
                <w:b w:val="0"/>
                <w:sz w:val="18"/>
              </w:rPr>
              <w:t>2020 年</w:t>
            </w:r>
          </w:p>
        </w:tc>
        <w:tc>
          <w:tcPr>
            <w:tcW w:type="dxa" w:w="1417"/>
            <w:vAlign w:val="center"/>
          </w:tcPr>
          <w:p>
            <w:pPr>
              <w:spacing w:after="0" w:before="0" w:lineRule="auto" w:line="283"/>
              <w:jc w:val="center"/>
            </w:pPr>
            <w:r/>
            <w:r>
              <w:rPr>
                <w:rFonts w:ascii="Microsoft YaHei" w:hAnsi="Microsoft YaHei" w:eastAsia="Microsoft YaHei"/>
                <w:b w:val="0"/>
                <w:sz w:val="18"/>
              </w:rPr>
              <w:t>16.760 亿元</w:t>
            </w:r>
          </w:p>
        </w:tc>
        <w:tc>
          <w:tcPr>
            <w:tcW w:type="dxa" w:w="1417"/>
            <w:vAlign w:val="center"/>
          </w:tcPr>
          <w:p>
            <w:pPr>
              <w:spacing w:after="0" w:before="0" w:lineRule="auto" w:line="283"/>
              <w:jc w:val="center"/>
            </w:pPr>
            <w:r/>
            <w:r>
              <w:rPr>
                <w:rFonts w:ascii="Microsoft YaHei" w:hAnsi="Microsoft YaHei" w:eastAsia="Microsoft YaHei"/>
                <w:b w:val="0"/>
                <w:sz w:val="18"/>
              </w:rPr>
              <w:t>1.165 亿元</w:t>
            </w:r>
          </w:p>
        </w:tc>
        <w:tc>
          <w:tcPr>
            <w:tcW w:type="dxa" w:w="1361"/>
            <w:vAlign w:val="center"/>
          </w:tcPr>
          <w:p>
            <w:pPr>
              <w:spacing w:after="0" w:before="0" w:lineRule="auto" w:line="283"/>
              <w:jc w:val="center"/>
            </w:pPr>
            <w:r/>
            <w:r>
              <w:rPr>
                <w:rFonts w:ascii="Microsoft YaHei" w:hAnsi="Microsoft YaHei" w:eastAsia="Microsoft YaHei"/>
                <w:b w:val="0"/>
                <w:sz w:val="18"/>
              </w:rPr>
              <w:t>1.092 亿元</w:t>
            </w:r>
          </w:p>
        </w:tc>
        <w:tc>
          <w:tcPr>
            <w:tcW w:type="dxa" w:w="1191"/>
            <w:vAlign w:val="center"/>
          </w:tcPr>
          <w:p>
            <w:pPr>
              <w:spacing w:after="0" w:before="0" w:lineRule="auto" w:line="283"/>
              <w:jc w:val="center"/>
            </w:pPr>
            <w:r/>
            <w:r>
              <w:rPr>
                <w:rFonts w:ascii="Microsoft YaHei" w:hAnsi="Microsoft YaHei" w:eastAsia="Microsoft YaHei"/>
                <w:b w:val="0"/>
                <w:sz w:val="18"/>
              </w:rPr>
              <w:t>2.460 亿元</w:t>
            </w:r>
          </w:p>
        </w:tc>
        <w:tc>
          <w:tcPr>
            <w:tcW w:type="dxa" w:w="1474"/>
            <w:vAlign w:val="center"/>
          </w:tcPr>
          <w:p>
            <w:pPr>
              <w:spacing w:after="0" w:before="0" w:lineRule="auto" w:line="283"/>
              <w:jc w:val="center"/>
            </w:pPr>
            <w:r/>
            <w:r>
              <w:rPr>
                <w:rFonts w:ascii="Microsoft YaHei" w:hAnsi="Microsoft YaHei" w:eastAsia="Microsoft YaHei"/>
                <w:b w:val="0"/>
                <w:sz w:val="18"/>
              </w:rPr>
              <w:t>6.744 亿元</w:t>
            </w:r>
          </w:p>
        </w:tc>
      </w:tr>
      <w:tr>
        <w:tc>
          <w:tcPr>
            <w:tcW w:type="dxa" w:w="1474"/>
            <w:vAlign w:val="center"/>
          </w:tcPr>
          <w:p>
            <w:pPr>
              <w:spacing w:after="0" w:before="0" w:lineRule="auto" w:line="283"/>
              <w:jc w:val="center"/>
            </w:pPr>
            <w:r/>
            <w:r>
              <w:rPr>
                <w:rFonts w:ascii="Microsoft YaHei" w:hAnsi="Microsoft YaHei" w:eastAsia="Microsoft YaHei"/>
                <w:b w:val="0"/>
                <w:sz w:val="18"/>
              </w:rPr>
              <w:t>2021-01-01 至 2021-09-03</w:t>
            </w:r>
          </w:p>
        </w:tc>
        <w:tc>
          <w:tcPr>
            <w:tcW w:type="dxa" w:w="1417"/>
            <w:vAlign w:val="center"/>
          </w:tcPr>
          <w:p>
            <w:pPr>
              <w:spacing w:after="0" w:before="0" w:lineRule="auto" w:line="283"/>
              <w:jc w:val="center"/>
            </w:pPr>
            <w:r/>
            <w:r>
              <w:rPr>
                <w:rFonts w:ascii="Microsoft YaHei" w:hAnsi="Microsoft YaHei" w:eastAsia="Microsoft YaHei"/>
                <w:b w:val="0"/>
                <w:sz w:val="18"/>
              </w:rPr>
              <w:t>12.887 亿元</w:t>
            </w:r>
          </w:p>
        </w:tc>
        <w:tc>
          <w:tcPr>
            <w:tcW w:type="dxa" w:w="1417"/>
            <w:vAlign w:val="center"/>
          </w:tcPr>
          <w:p>
            <w:pPr>
              <w:spacing w:after="0" w:before="0" w:lineRule="auto" w:line="283"/>
              <w:jc w:val="center"/>
            </w:pPr>
            <w:r/>
            <w:r>
              <w:rPr>
                <w:rFonts w:ascii="Microsoft YaHei" w:hAnsi="Microsoft YaHei" w:eastAsia="Microsoft YaHei"/>
                <w:b w:val="0"/>
                <w:sz w:val="18"/>
              </w:rPr>
              <w:t>0.610 亿元</w:t>
            </w:r>
          </w:p>
        </w:tc>
        <w:tc>
          <w:tcPr>
            <w:tcW w:type="dxa" w:w="1361"/>
            <w:vAlign w:val="center"/>
          </w:tcPr>
          <w:p>
            <w:pPr>
              <w:spacing w:after="0" w:before="0" w:lineRule="auto" w:line="283"/>
              <w:jc w:val="center"/>
            </w:pPr>
            <w:r/>
            <w:r>
              <w:rPr>
                <w:rFonts w:ascii="Microsoft YaHei" w:hAnsi="Microsoft YaHei" w:eastAsia="Microsoft YaHei"/>
                <w:b w:val="0"/>
                <w:sz w:val="18"/>
              </w:rPr>
              <w:t>0.453 亿元</w:t>
            </w:r>
          </w:p>
        </w:tc>
        <w:tc>
          <w:tcPr>
            <w:tcW w:type="dxa" w:w="1191"/>
            <w:vAlign w:val="center"/>
          </w:tcPr>
          <w:p>
            <w:pPr>
              <w:spacing w:after="0" w:before="0" w:lineRule="auto" w:line="283"/>
              <w:jc w:val="center"/>
            </w:pPr>
            <w:r/>
            <w:r>
              <w:rPr>
                <w:rFonts w:ascii="Microsoft YaHei" w:hAnsi="Microsoft YaHei" w:eastAsia="Microsoft YaHei"/>
                <w:b w:val="0"/>
                <w:sz w:val="18"/>
              </w:rPr>
              <w:t>-0.475 亿元</w:t>
            </w:r>
          </w:p>
        </w:tc>
        <w:tc>
          <w:tcPr>
            <w:tcW w:type="dxa" w:w="1474"/>
            <w:vAlign w:val="center"/>
          </w:tcPr>
          <w:p>
            <w:pPr>
              <w:spacing w:after="0" w:before="0" w:lineRule="auto" w:line="283"/>
              <w:jc w:val="center"/>
            </w:pPr>
            <w:r/>
            <w:r>
              <w:rPr>
                <w:rFonts w:ascii="Microsoft YaHei" w:hAnsi="Microsoft YaHei" w:eastAsia="Microsoft YaHei"/>
                <w:b w:val="0"/>
                <w:sz w:val="18"/>
              </w:rPr>
              <w:t>6.184 亿元</w:t>
            </w:r>
          </w:p>
        </w:tc>
      </w:tr>
    </w:tbl>
    <w:p>
      <w:pPr>
        <w:pStyle w:val="SmallCN"/>
        <w:spacing w:before="0" w:after="120" w:lineRule="auto" w:line="324"/>
      </w:pPr>
      <w:r>
        <w:rPr>
          <w:rFonts w:ascii="Microsoft YaHei" w:hAnsi="Microsoft YaHei" w:eastAsia="Microsoft YaHei"/>
          <w:color w:val="646464"/>
          <w:sz w:val="18"/>
        </w:rPr>
        <w:t>上述数据均来自 Camelot Group 并购前历史财务资料，单位由报告原文“人民币千元”换算为亿元以便阅读。[R7]</w:t>
      </w:r>
    </w:p>
    <w:p/>
    <w:p>
      <w:pPr>
        <w:pStyle w:val="Heading2CN"/>
        <w:spacing w:before="0" w:after="120" w:lineRule="auto" w:line="324"/>
      </w:pPr>
      <w:r>
        <w:rPr>
          <w:rFonts w:ascii="Microsoft YaHei" w:hAnsi="Microsoft YaHei" w:eastAsia="Microsoft YaHei"/>
          <w:sz w:val="21"/>
        </w:rPr>
        <w:t>7.2 并表后观察窗口：金山云企业云业务与集团员工结构</w:t>
      </w:r>
    </w:p>
    <w:tbl>
      <w:tblPr>
        <w:tblW w:type="auto" w:w="0"/>
        <w:jc w:val="center"/>
        <w:tblLayout w:type="fixed"/>
        <w:tblLook w:firstColumn="1" w:firstRow="1" w:lastColumn="0" w:lastRow="0" w:noHBand="0" w:noVBand="1" w:val="04A0"/>
      </w:tblPr>
      <w:tblGrid>
        <w:gridCol w:w="1247"/>
        <w:gridCol w:w="1701"/>
        <w:gridCol w:w="1701"/>
        <w:gridCol w:w="1814"/>
        <w:gridCol w:w="2608"/>
      </w:tblGrid>
      <w:tr>
        <w:tc>
          <w:tcPr>
            <w:tcW w:type="dxa" w:w="1882"/>
            <w:vAlign w:val="center"/>
            <w:shd w:fill="4F81BD"/>
          </w:tcPr>
          <w:p>
            <w:pPr>
              <w:spacing w:after="0" w:before="0" w:lineRule="auto" w:line="283"/>
              <w:jc w:val="center"/>
            </w:pPr>
            <w:r/>
            <w:r>
              <w:rPr>
                <w:rFonts w:ascii="Microsoft YaHei" w:hAnsi="Microsoft YaHei" w:eastAsia="Microsoft YaHei"/>
                <w:b/>
                <w:color w:val="FFFFFF"/>
                <w:sz w:val="18"/>
              </w:rPr>
              <w:t>年份/期间</w:t>
            </w:r>
          </w:p>
        </w:tc>
        <w:tc>
          <w:tcPr>
            <w:tcW w:type="dxa" w:w="1882"/>
            <w:vAlign w:val="center"/>
            <w:shd w:fill="4F81BD"/>
          </w:tcPr>
          <w:p>
            <w:pPr>
              <w:spacing w:after="0" w:before="0" w:lineRule="auto" w:line="283"/>
              <w:jc w:val="center"/>
            </w:pPr>
            <w:r/>
            <w:r>
              <w:rPr>
                <w:rFonts w:ascii="Microsoft YaHei" w:hAnsi="Microsoft YaHei" w:eastAsia="Microsoft YaHei"/>
                <w:b/>
                <w:color w:val="FFFFFF"/>
                <w:sz w:val="18"/>
              </w:rPr>
              <w:t>金山云总收入</w:t>
            </w:r>
          </w:p>
        </w:tc>
        <w:tc>
          <w:tcPr>
            <w:tcW w:type="dxa" w:w="1882"/>
            <w:vAlign w:val="center"/>
            <w:shd w:fill="4F81BD"/>
          </w:tcPr>
          <w:p>
            <w:pPr>
              <w:spacing w:after="0" w:before="0" w:lineRule="auto" w:line="283"/>
              <w:jc w:val="center"/>
            </w:pPr>
            <w:r/>
            <w:r>
              <w:rPr>
                <w:rFonts w:ascii="Microsoft YaHei" w:hAnsi="Microsoft YaHei" w:eastAsia="Microsoft YaHei"/>
                <w:b/>
                <w:color w:val="FFFFFF"/>
                <w:sz w:val="18"/>
              </w:rPr>
              <w:t>企业云收入</w:t>
            </w:r>
          </w:p>
        </w:tc>
        <w:tc>
          <w:tcPr>
            <w:tcW w:type="dxa" w:w="1882"/>
            <w:vAlign w:val="center"/>
            <w:shd w:fill="4F81BD"/>
          </w:tcPr>
          <w:p>
            <w:pPr>
              <w:spacing w:after="0" w:before="0" w:lineRule="auto" w:line="283"/>
              <w:jc w:val="center"/>
            </w:pPr>
            <w:r/>
            <w:r>
              <w:rPr>
                <w:rFonts w:ascii="Microsoft YaHei" w:hAnsi="Microsoft YaHei" w:eastAsia="Microsoft YaHei"/>
                <w:b/>
                <w:color w:val="FFFFFF"/>
                <w:sz w:val="18"/>
              </w:rPr>
              <w:t>企业云占总收入比重</w:t>
            </w:r>
          </w:p>
        </w:tc>
        <w:tc>
          <w:tcPr>
            <w:tcW w:type="dxa" w:w="1882"/>
            <w:vAlign w:val="center"/>
            <w:shd w:fill="4F81BD"/>
          </w:tcPr>
          <w:p>
            <w:pPr>
              <w:spacing w:after="0" w:before="0" w:lineRule="auto" w:line="283"/>
              <w:jc w:val="center"/>
            </w:pPr>
            <w:r/>
            <w:r>
              <w:rPr>
                <w:rFonts w:ascii="Microsoft YaHei" w:hAnsi="Microsoft YaHei" w:eastAsia="Microsoft YaHei"/>
                <w:b/>
                <w:color w:val="FFFFFF"/>
                <w:sz w:val="18"/>
              </w:rPr>
              <w:t>备注</w:t>
            </w:r>
          </w:p>
        </w:tc>
      </w:tr>
      <w:tr>
        <w:tc>
          <w:tcPr>
            <w:tcW w:type="dxa" w:w="1247"/>
            <w:vAlign w:val="center"/>
          </w:tcPr>
          <w:p>
            <w:pPr>
              <w:spacing w:after="0" w:before="0" w:lineRule="auto" w:line="283"/>
              <w:jc w:val="center"/>
            </w:pPr>
            <w:r/>
            <w:r>
              <w:rPr>
                <w:rFonts w:ascii="Microsoft YaHei" w:hAnsi="Microsoft YaHei" w:eastAsia="Microsoft YaHei"/>
                <w:b w:val="0"/>
                <w:sz w:val="18"/>
              </w:rPr>
              <w:t>2022 上半年</w:t>
            </w:r>
          </w:p>
        </w:tc>
        <w:tc>
          <w:tcPr>
            <w:tcW w:type="dxa" w:w="1701"/>
            <w:vAlign w:val="center"/>
          </w:tcPr>
          <w:p>
            <w:pPr>
              <w:spacing w:after="0" w:before="0" w:lineRule="auto" w:line="283"/>
              <w:jc w:val="center"/>
            </w:pPr>
            <w:r/>
            <w:r>
              <w:rPr>
                <w:rFonts w:ascii="Microsoft YaHei" w:hAnsi="Microsoft YaHei" w:eastAsia="Microsoft YaHei"/>
                <w:b w:val="0"/>
                <w:sz w:val="18"/>
              </w:rPr>
              <w:t>40.803 亿元</w:t>
            </w:r>
          </w:p>
        </w:tc>
        <w:tc>
          <w:tcPr>
            <w:tcW w:type="dxa" w:w="1701"/>
            <w:vAlign w:val="center"/>
          </w:tcPr>
          <w:p>
            <w:pPr>
              <w:spacing w:after="0" w:before="0" w:lineRule="auto" w:line="283"/>
              <w:jc w:val="center"/>
            </w:pPr>
            <w:r/>
            <w:r>
              <w:rPr>
                <w:rFonts w:ascii="Microsoft YaHei" w:hAnsi="Microsoft YaHei" w:eastAsia="Microsoft YaHei"/>
                <w:b w:val="0"/>
                <w:sz w:val="18"/>
              </w:rPr>
              <w:t>14.091 亿元</w:t>
            </w:r>
          </w:p>
        </w:tc>
        <w:tc>
          <w:tcPr>
            <w:tcW w:type="dxa" w:w="1814"/>
            <w:vAlign w:val="center"/>
          </w:tcPr>
          <w:p>
            <w:pPr>
              <w:spacing w:after="0" w:before="0" w:lineRule="auto" w:line="283"/>
              <w:jc w:val="center"/>
            </w:pPr>
            <w:r/>
            <w:r>
              <w:rPr>
                <w:rFonts w:ascii="Microsoft YaHei" w:hAnsi="Microsoft YaHei" w:eastAsia="Microsoft YaHei"/>
                <w:b w:val="0"/>
                <w:sz w:val="18"/>
              </w:rPr>
              <w:t>34.5%</w:t>
            </w:r>
          </w:p>
        </w:tc>
        <w:tc>
          <w:tcPr>
            <w:tcW w:type="dxa" w:w="2608"/>
            <w:vAlign w:val="center"/>
          </w:tcPr>
          <w:p>
            <w:pPr>
              <w:spacing w:after="0" w:before="0" w:lineRule="auto" w:line="283"/>
              <w:jc w:val="left"/>
            </w:pPr>
            <w:r/>
            <w:r>
              <w:rPr>
                <w:rFonts w:ascii="Microsoft YaHei" w:hAnsi="Microsoft YaHei" w:eastAsia="Microsoft YaHei"/>
                <w:b w:val="0"/>
                <w:sz w:val="18"/>
              </w:rPr>
              <w:t>其中 Camelot Group 贡献 11.374 亿元，占集团总收入 27.9%，占企业云收入约 80.7%。[R6]</w:t>
            </w:r>
          </w:p>
        </w:tc>
      </w:tr>
      <w:tr>
        <w:tc>
          <w:tcPr>
            <w:tcW w:type="dxa" w:w="1247"/>
            <w:vAlign w:val="center"/>
          </w:tcPr>
          <w:p>
            <w:pPr>
              <w:spacing w:after="0" w:before="0" w:lineRule="auto" w:line="283"/>
              <w:jc w:val="center"/>
            </w:pPr>
            <w:r/>
            <w:r>
              <w:rPr>
                <w:rFonts w:ascii="Microsoft YaHei" w:hAnsi="Microsoft YaHei" w:eastAsia="Microsoft YaHei"/>
                <w:b w:val="0"/>
                <w:sz w:val="18"/>
              </w:rPr>
              <w:t>2023 年</w:t>
            </w:r>
          </w:p>
        </w:tc>
        <w:tc>
          <w:tcPr>
            <w:tcW w:type="dxa" w:w="1701"/>
            <w:vAlign w:val="center"/>
          </w:tcPr>
          <w:p>
            <w:pPr>
              <w:spacing w:after="0" w:before="0" w:lineRule="auto" w:line="283"/>
              <w:jc w:val="center"/>
            </w:pPr>
            <w:r/>
            <w:r>
              <w:rPr>
                <w:rFonts w:ascii="Microsoft YaHei" w:hAnsi="Microsoft YaHei" w:eastAsia="Microsoft YaHei"/>
                <w:b w:val="0"/>
                <w:sz w:val="18"/>
              </w:rPr>
              <w:t>70.475 亿元</w:t>
            </w:r>
          </w:p>
        </w:tc>
        <w:tc>
          <w:tcPr>
            <w:tcW w:type="dxa" w:w="1701"/>
            <w:vAlign w:val="center"/>
          </w:tcPr>
          <w:p>
            <w:pPr>
              <w:spacing w:after="0" w:before="0" w:lineRule="auto" w:line="283"/>
              <w:jc w:val="center"/>
            </w:pPr>
            <w:r/>
            <w:r>
              <w:rPr>
                <w:rFonts w:ascii="Microsoft YaHei" w:hAnsi="Microsoft YaHei" w:eastAsia="Microsoft YaHei"/>
                <w:b w:val="0"/>
                <w:sz w:val="18"/>
              </w:rPr>
              <w:t>26.640 亿元</w:t>
            </w:r>
          </w:p>
        </w:tc>
        <w:tc>
          <w:tcPr>
            <w:tcW w:type="dxa" w:w="1814"/>
            <w:vAlign w:val="center"/>
          </w:tcPr>
          <w:p>
            <w:pPr>
              <w:spacing w:after="0" w:before="0" w:lineRule="auto" w:line="283"/>
              <w:jc w:val="center"/>
            </w:pPr>
            <w:r/>
            <w:r>
              <w:rPr>
                <w:rFonts w:ascii="Microsoft YaHei" w:hAnsi="Microsoft YaHei" w:eastAsia="Microsoft YaHei"/>
                <w:b w:val="0"/>
                <w:sz w:val="18"/>
              </w:rPr>
              <w:t>37.8%</w:t>
            </w:r>
          </w:p>
        </w:tc>
        <w:tc>
          <w:tcPr>
            <w:tcW w:type="dxa" w:w="2608"/>
            <w:vAlign w:val="center"/>
          </w:tcPr>
          <w:p>
            <w:pPr>
              <w:spacing w:after="0" w:before="0" w:lineRule="auto" w:line="283"/>
              <w:jc w:val="left"/>
            </w:pPr>
            <w:r/>
            <w:r>
              <w:rPr>
                <w:rFonts w:ascii="Microsoft YaHei" w:hAnsi="Microsoft YaHei" w:eastAsia="Microsoft YaHei"/>
                <w:b w:val="0"/>
                <w:sz w:val="18"/>
              </w:rPr>
              <w:t>来自金山云 2023 年 20-F。[R12]</w:t>
            </w:r>
          </w:p>
        </w:tc>
      </w:tr>
      <w:tr>
        <w:tc>
          <w:tcPr>
            <w:tcW w:type="dxa" w:w="1247"/>
            <w:vAlign w:val="center"/>
          </w:tcPr>
          <w:p>
            <w:pPr>
              <w:spacing w:after="0" w:before="0" w:lineRule="auto" w:line="283"/>
              <w:jc w:val="center"/>
            </w:pPr>
            <w:r/>
            <w:r>
              <w:rPr>
                <w:rFonts w:ascii="Microsoft YaHei" w:hAnsi="Microsoft YaHei" w:eastAsia="Microsoft YaHei"/>
                <w:b w:val="0"/>
                <w:sz w:val="18"/>
              </w:rPr>
              <w:t>2024 年</w:t>
            </w:r>
          </w:p>
        </w:tc>
        <w:tc>
          <w:tcPr>
            <w:tcW w:type="dxa" w:w="1701"/>
            <w:vAlign w:val="center"/>
          </w:tcPr>
          <w:p>
            <w:pPr>
              <w:spacing w:after="0" w:before="0" w:lineRule="auto" w:line="283"/>
              <w:jc w:val="center"/>
            </w:pPr>
            <w:r/>
            <w:r>
              <w:rPr>
                <w:rFonts w:ascii="Microsoft YaHei" w:hAnsi="Microsoft YaHei" w:eastAsia="Microsoft YaHei"/>
                <w:b w:val="0"/>
                <w:sz w:val="18"/>
              </w:rPr>
              <w:t>77.852 亿元</w:t>
            </w:r>
          </w:p>
        </w:tc>
        <w:tc>
          <w:tcPr>
            <w:tcW w:type="dxa" w:w="1701"/>
            <w:vAlign w:val="center"/>
          </w:tcPr>
          <w:p>
            <w:pPr>
              <w:spacing w:after="0" w:before="0" w:lineRule="auto" w:line="283"/>
              <w:jc w:val="center"/>
            </w:pPr>
            <w:r/>
            <w:r>
              <w:rPr>
                <w:rFonts w:ascii="Microsoft YaHei" w:hAnsi="Microsoft YaHei" w:eastAsia="Microsoft YaHei"/>
                <w:b w:val="0"/>
                <w:sz w:val="18"/>
              </w:rPr>
              <w:t>27.778 亿元</w:t>
            </w:r>
          </w:p>
        </w:tc>
        <w:tc>
          <w:tcPr>
            <w:tcW w:type="dxa" w:w="1814"/>
            <w:vAlign w:val="center"/>
          </w:tcPr>
          <w:p>
            <w:pPr>
              <w:spacing w:after="0" w:before="0" w:lineRule="auto" w:line="283"/>
              <w:jc w:val="center"/>
            </w:pPr>
            <w:r/>
            <w:r>
              <w:rPr>
                <w:rFonts w:ascii="Microsoft YaHei" w:hAnsi="Microsoft YaHei" w:eastAsia="Microsoft YaHei"/>
                <w:b w:val="0"/>
                <w:sz w:val="18"/>
              </w:rPr>
              <w:t>35.7%</w:t>
            </w:r>
          </w:p>
        </w:tc>
        <w:tc>
          <w:tcPr>
            <w:tcW w:type="dxa" w:w="2608"/>
            <w:vAlign w:val="center"/>
          </w:tcPr>
          <w:p>
            <w:pPr>
              <w:spacing w:after="0" w:before="0" w:lineRule="auto" w:line="283"/>
              <w:jc w:val="left"/>
            </w:pPr>
            <w:r/>
            <w:r>
              <w:rPr>
                <w:rFonts w:ascii="Microsoft YaHei" w:hAnsi="Microsoft YaHei" w:eastAsia="Microsoft YaHei"/>
                <w:b w:val="0"/>
                <w:sz w:val="18"/>
              </w:rPr>
              <w:t>来自金山云 2024 年报。[R8]</w:t>
            </w:r>
          </w:p>
        </w:tc>
      </w:tr>
      <w:tr>
        <w:tc>
          <w:tcPr>
            <w:tcW w:type="dxa" w:w="1247"/>
            <w:vAlign w:val="center"/>
          </w:tcPr>
          <w:p>
            <w:pPr>
              <w:spacing w:after="0" w:before="0" w:lineRule="auto" w:line="283"/>
              <w:jc w:val="center"/>
            </w:pPr>
            <w:r/>
            <w:r>
              <w:rPr>
                <w:rFonts w:ascii="Microsoft YaHei" w:hAnsi="Microsoft YaHei" w:eastAsia="Microsoft YaHei"/>
                <w:b w:val="0"/>
                <w:sz w:val="18"/>
              </w:rPr>
              <w:t>2025 年</w:t>
            </w:r>
          </w:p>
        </w:tc>
        <w:tc>
          <w:tcPr>
            <w:tcW w:type="dxa" w:w="1701"/>
            <w:vAlign w:val="center"/>
          </w:tcPr>
          <w:p>
            <w:pPr>
              <w:spacing w:after="0" w:before="0" w:lineRule="auto" w:line="283"/>
              <w:jc w:val="center"/>
            </w:pPr>
            <w:r/>
            <w:r>
              <w:rPr>
                <w:rFonts w:ascii="Microsoft YaHei" w:hAnsi="Microsoft YaHei" w:eastAsia="Microsoft YaHei"/>
                <w:b w:val="0"/>
                <w:sz w:val="18"/>
              </w:rPr>
              <w:t>95.586 亿元</w:t>
            </w:r>
          </w:p>
        </w:tc>
        <w:tc>
          <w:tcPr>
            <w:tcW w:type="dxa" w:w="1701"/>
            <w:vAlign w:val="center"/>
          </w:tcPr>
          <w:p>
            <w:pPr>
              <w:spacing w:after="0" w:before="0" w:lineRule="auto" w:line="283"/>
              <w:jc w:val="center"/>
            </w:pPr>
            <w:r/>
            <w:r>
              <w:rPr>
                <w:rFonts w:ascii="Microsoft YaHei" w:hAnsi="Microsoft YaHei" w:eastAsia="Microsoft YaHei"/>
                <w:b w:val="0"/>
                <w:sz w:val="18"/>
              </w:rPr>
              <w:t>29.251 亿元</w:t>
            </w:r>
          </w:p>
        </w:tc>
        <w:tc>
          <w:tcPr>
            <w:tcW w:type="dxa" w:w="1814"/>
            <w:vAlign w:val="center"/>
          </w:tcPr>
          <w:p>
            <w:pPr>
              <w:spacing w:after="0" w:before="0" w:lineRule="auto" w:line="283"/>
              <w:jc w:val="center"/>
            </w:pPr>
            <w:r/>
            <w:r>
              <w:rPr>
                <w:rFonts w:ascii="Microsoft YaHei" w:hAnsi="Microsoft YaHei" w:eastAsia="Microsoft YaHei"/>
                <w:b w:val="0"/>
                <w:sz w:val="18"/>
              </w:rPr>
              <w:t>30.6%</w:t>
            </w:r>
          </w:p>
        </w:tc>
        <w:tc>
          <w:tcPr>
            <w:tcW w:type="dxa" w:w="2608"/>
            <w:vAlign w:val="center"/>
          </w:tcPr>
          <w:p>
            <w:pPr>
              <w:spacing w:after="0" w:before="0" w:lineRule="auto" w:line="283"/>
              <w:jc w:val="left"/>
            </w:pPr>
            <w:r/>
            <w:r>
              <w:rPr>
                <w:rFonts w:ascii="Microsoft YaHei" w:hAnsi="Microsoft YaHei" w:eastAsia="Microsoft YaHei"/>
                <w:b w:val="0"/>
                <w:sz w:val="18"/>
              </w:rPr>
              <w:t>来自金山云 2025 年未经审计初步业绩公告。[R9]</w:t>
            </w:r>
          </w:p>
        </w:tc>
      </w:tr>
    </w:tbl>
    <w:p/>
    <w:p>
      <w:pPr>
        <w:pStyle w:val="Heading2CN"/>
        <w:spacing w:before="0" w:after="120" w:lineRule="auto" w:line="324"/>
      </w:pPr>
      <w:r>
        <w:rPr>
          <w:rFonts w:ascii="Microsoft YaHei" w:hAnsi="Microsoft YaHei" w:eastAsia="Microsoft YaHei"/>
          <w:sz w:val="21"/>
        </w:rPr>
        <w:t>7.3 经营质量补充指标（公开披露）</w:t>
      </w:r>
    </w:p>
    <w:p>
      <w:pPr>
        <w:pStyle w:val="BodyCN"/>
        <w:spacing w:before="0" w:after="120" w:lineRule="auto" w:line="324"/>
      </w:pPr>
      <w:r>
        <w:rPr>
          <w:rFonts w:ascii="Microsoft YaHei" w:hAnsi="Microsoft YaHei" w:eastAsia="Microsoft YaHei"/>
          <w:sz w:val="21"/>
        </w:rPr>
        <w:t>金山云 2021 年 8 月宣布收购 Camelot 的官方新闻稿提到三组值得重视的经营质量指标：第一，Camelot 在 2020 年服务了 213 家优质客户；第二，2020 年重复收入率约为 94%；第三，截至 2021 年 7 月 31 日，在手订单约 38 亿元。这些数据并不是当前口径，但对于理解公司当时的客户黏性、收入可见性与订单储备非常重要。[R11]</w:t>
      </w:r>
    </w:p>
    <w:p>
      <w:pPr>
        <w:pStyle w:val="BodyCN"/>
        <w:spacing w:before="0" w:after="120" w:lineRule="auto" w:line="324"/>
      </w:pPr>
      <w:r>
        <w:rPr>
          <w:rFonts w:ascii="Microsoft YaHei" w:hAnsi="Microsoft YaHei" w:eastAsia="Microsoft YaHei"/>
          <w:sz w:val="21"/>
        </w:rPr>
        <w:t>同一则新闻稿还提到，Camelot 的核心管理团队在公司任职时间长达 15—29 年，且此前来自 IBM、BearingPoint 等全球领先企业；这说明公司在并购时向金山云输出的，不仅是项目收入，还有可复制的大客户交付经验与行业 know-how。[R11]</w:t>
      </w:r>
    </w:p>
    <w:p>
      <w:pPr>
        <w:pStyle w:val="Heading1CN"/>
        <w:spacing w:before="0" w:after="120" w:lineRule="auto" w:line="324"/>
      </w:pPr>
      <w:r>
        <w:rPr>
          <w:rFonts w:ascii="Microsoft YaHei" w:hAnsi="Microsoft YaHei" w:eastAsia="Microsoft YaHei"/>
          <w:sz w:val="21"/>
        </w:rPr>
        <w:t>八、商业模式、盈利点与现状判断</w:t>
      </w:r>
    </w:p>
    <w:p>
      <w:pPr>
        <w:pStyle w:val="BodyCN"/>
        <w:spacing w:before="0" w:after="120" w:lineRule="auto" w:line="324"/>
      </w:pPr>
      <w:r>
        <w:rPr>
          <w:rFonts w:ascii="Microsoft YaHei" w:hAnsi="Microsoft YaHei" w:eastAsia="Microsoft YaHei"/>
          <w:sz w:val="21"/>
        </w:rPr>
        <w:t>柯莱特的商业本质不是“卖标准化软件副本”，而是“卖企业应用和行业场景的系统建设与持续服务能力”。它的收入通常按项目收费、按履约进度确认，成本端则高度依赖解决方案开发、实施和运维人员，因此天然属于人力密集但技术门槛不低的企业服务模式。[R7][R12]</w:t>
      </w:r>
    </w:p>
    <w:p>
      <w:pPr>
        <w:pStyle w:val="BodyCN"/>
        <w:spacing w:before="0" w:after="120" w:lineRule="auto" w:line="324"/>
      </w:pPr>
      <w:r>
        <w:rPr>
          <w:rFonts w:ascii="Microsoft YaHei" w:hAnsi="Microsoft YaHei" w:eastAsia="Microsoft YaHei"/>
          <w:sz w:val="21"/>
        </w:rPr>
        <w:t>从盈利点看，公司主要靠三类能力赚钱：第一，企业应用项目的顾问、实施、开发和持续维护能力；第二，金融、制造、物流等行业场景中的业务理解和可复用方案包；第三，跨区域、跨模式的大规模交付资源组织能力，包括现场、近岸、离岸和远程运维支持。[R1][R2][R3][R5]</w:t>
      </w:r>
    </w:p>
    <w:p>
      <w:pPr>
        <w:pStyle w:val="BodyCN"/>
        <w:spacing w:before="0" w:after="120" w:lineRule="auto" w:line="324"/>
      </w:pPr>
      <w:r>
        <w:rPr>
          <w:rFonts w:ascii="Microsoft YaHei" w:hAnsi="Microsoft YaHei" w:eastAsia="Microsoft YaHei"/>
          <w:sz w:val="21"/>
        </w:rPr>
        <w:t>从现状判断看，公司至少具备以下四个清晰特征。其一，业务底盘稳定，SAP/企业应用服务仍是最核心的收入与人员承载业务。其二，金融解决方案并非边缘业务，而是历史上占比显著的第二主线。其三，公司当前官网业务边界已经扩展到制造、物流、云上应用迁移、BPO 等，说明其不再是单一 ERP 服务商。其四，公开资料层面，柯莱特当前独立收入与利润已难以从母公司报表中拆出，这是当前研究的最大信息边界。[R1][R2][R3][R5][R7][R8][R9][R10]</w:t>
      </w:r>
    </w:p>
    <w:p>
      <w:pPr>
        <w:pStyle w:val="BodyCN"/>
        <w:spacing w:before="0" w:after="120" w:lineRule="auto" w:line="324"/>
      </w:pPr>
      <w:r>
        <w:rPr>
          <w:rFonts w:ascii="Microsoft YaHei" w:hAnsi="Microsoft YaHei" w:eastAsia="Microsoft YaHei"/>
          <w:sz w:val="21"/>
        </w:rPr>
        <w:t>基于以上判断，V4 对公司的最简洁定义是：柯莱特是一家以企业应用服务为核心、兼具金融与行业解决方案能力、并依赖大规模交付资源池来履约的企业信息技术服务商。</w:t>
      </w:r>
    </w:p>
    <w:p>
      <w:pPr>
        <w:pStyle w:val="Heading1CN"/>
        <w:spacing w:before="0" w:after="120" w:lineRule="auto" w:line="324"/>
      </w:pPr>
      <w:r>
        <w:rPr>
          <w:rFonts w:ascii="Microsoft YaHei" w:hAnsi="Microsoft YaHei" w:eastAsia="Microsoft YaHei"/>
          <w:sz w:val="21"/>
        </w:rPr>
        <w:t>九、公开信息边界与阅读提示</w:t>
      </w:r>
    </w:p>
    <w:p>
      <w:pPr>
        <w:pStyle w:val="BodyCN"/>
        <w:spacing w:before="0" w:after="120" w:lineRule="auto" w:line="324"/>
      </w:pPr>
      <w:r>
        <w:rPr>
          <w:rFonts w:ascii="Microsoft YaHei" w:hAnsi="Microsoft YaHei" w:eastAsia="Microsoft YaHei"/>
          <w:sz w:val="21"/>
        </w:rPr>
        <w:t>第一，公开资料可以证明柯莱特历史上的主体业务是什么、并购前单体财务表现如何、并表后其在金山云集团中的大致角色是什么、以及公司当前官网展示的服务边界；但公开资料不能严谨证明“柯莱特 2024/2025 年单体 SAP 收入占比是多少、单体制造业收入是多少、各业务线人数分别多少”。因此，V4 中出现的“当前业务线占比”均为分析估计，而非披露事实。[R1][R2][R3][R7][R8][R9][R10]</w:t>
      </w:r>
    </w:p>
    <w:p>
      <w:pPr>
        <w:pStyle w:val="BodyCN"/>
        <w:spacing w:before="0" w:after="120" w:lineRule="auto" w:line="324"/>
      </w:pPr>
      <w:r>
        <w:rPr>
          <w:rFonts w:ascii="Microsoft YaHei" w:hAnsi="Microsoft YaHei" w:eastAsia="Microsoft YaHei"/>
          <w:sz w:val="21"/>
        </w:rPr>
        <w:t>第二，金山云 2025 年数据来自 2025 年未经审计初步业绩公告，应视为最新公开口径，但严格意义上与 2024 年审计年报的法律效力不同。[R9]</w:t>
      </w:r>
    </w:p>
    <w:p>
      <w:pPr>
        <w:pStyle w:val="BodyCN"/>
        <w:spacing w:before="0" w:after="120" w:lineRule="auto" w:line="324"/>
      </w:pPr>
      <w:r>
        <w:rPr>
          <w:rFonts w:ascii="Microsoft YaHei" w:hAnsi="Microsoft YaHei" w:eastAsia="Microsoft YaHei"/>
          <w:sz w:val="21"/>
        </w:rPr>
        <w:t>第三，当前公开口径显示柯莱特科技仍为金山云间接非全资子公司，持股 92.23%；若未来少数股权进一步被收购，相关结论需以届时最新年报或公告为准。[R8]</w:t>
      </w:r>
    </w:p>
    <w:p>
      <w:pPr>
        <w:pStyle w:val="BodyCN"/>
        <w:spacing w:before="0" w:after="120" w:lineRule="auto" w:line="324"/>
      </w:pPr>
      <w:r>
        <w:rPr>
          <w:rFonts w:ascii="Microsoft YaHei" w:hAnsi="Microsoft YaHei" w:eastAsia="Microsoft YaHei"/>
          <w:sz w:val="21"/>
        </w:rPr>
        <w:t>第四，本报告未引入付费工商数据库、客户访谈、供应商访谈、招聘明细分析或内部订单数据，因此更适合做“公开资料尽调底稿”和“方向性判断”，不适合作为投资/并购中的最终法律尽调结论。</w:t>
      </w:r>
    </w:p>
    <w:p>
      <w:pPr>
        <w:pStyle w:val="Heading1CN"/>
        <w:spacing w:before="0" w:after="120" w:lineRule="auto" w:line="324"/>
      </w:pPr>
      <w:r>
        <w:rPr>
          <w:rFonts w:ascii="Microsoft YaHei" w:hAnsi="Microsoft YaHei" w:eastAsia="Microsoft YaHei"/>
          <w:sz w:val="21"/>
        </w:rPr>
        <w:t>十、参考资料（按引用编号）</w:t>
      </w:r>
    </w:p>
    <w:tbl>
      <w:tblPr>
        <w:tblW w:type="auto" w:w="0"/>
        <w:jc w:val="center"/>
        <w:tblLayout w:type="fixed"/>
        <w:tblLook w:firstColumn="1" w:firstRow="1" w:lastColumn="0" w:lastRow="0" w:noHBand="0" w:noVBand="1" w:val="04A0"/>
      </w:tblPr>
      <w:tblGrid>
        <w:gridCol w:w="850"/>
        <w:gridCol w:w="2948"/>
        <w:gridCol w:w="4082"/>
        <w:gridCol w:w="1701"/>
      </w:tblGrid>
      <w:tr>
        <w:tc>
          <w:tcPr>
            <w:tcW w:type="dxa" w:w="2353"/>
            <w:vAlign w:val="center"/>
            <w:shd w:fill="4F81BD"/>
          </w:tcPr>
          <w:p>
            <w:pPr>
              <w:spacing w:after="0" w:before="0" w:lineRule="auto" w:line="283"/>
              <w:jc w:val="center"/>
            </w:pPr>
            <w:r/>
            <w:r>
              <w:rPr>
                <w:rFonts w:ascii="Microsoft YaHei" w:hAnsi="Microsoft YaHei" w:eastAsia="Microsoft YaHei"/>
                <w:b/>
                <w:color w:val="FFFFFF"/>
                <w:sz w:val="18"/>
              </w:rPr>
              <w:t>编号</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8"/>
              </w:rPr>
              <w:t>资料名称</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8"/>
              </w:rPr>
              <w:t>链接</w:t>
            </w:r>
          </w:p>
        </w:tc>
        <w:tc>
          <w:tcPr>
            <w:tcW w:type="dxa" w:w="2353"/>
            <w:vAlign w:val="center"/>
            <w:shd w:fill="4F81BD"/>
          </w:tcPr>
          <w:p>
            <w:pPr>
              <w:spacing w:after="0" w:before="0" w:lineRule="auto" w:line="283"/>
              <w:jc w:val="center"/>
            </w:pPr>
            <w:r/>
            <w:r>
              <w:rPr>
                <w:rFonts w:ascii="Microsoft YaHei" w:hAnsi="Microsoft YaHei" w:eastAsia="Microsoft YaHei"/>
                <w:b/>
                <w:color w:val="FFFFFF"/>
                <w:sz w:val="18"/>
              </w:rPr>
              <w:t>用途</w:t>
            </w:r>
          </w:p>
        </w:tc>
      </w:tr>
      <w:tr>
        <w:tc>
          <w:tcPr>
            <w:tcW w:type="dxa" w:w="850"/>
            <w:vAlign w:val="center"/>
          </w:tcPr>
          <w:p>
            <w:pPr>
              <w:spacing w:after="0" w:before="0" w:lineRule="auto" w:line="283"/>
              <w:jc w:val="center"/>
            </w:pPr>
            <w:r/>
            <w:r>
              <w:rPr>
                <w:rFonts w:ascii="Microsoft YaHei" w:hAnsi="Microsoft YaHei" w:eastAsia="Microsoft YaHei"/>
                <w:b w:val="0"/>
                <w:sz w:val="17"/>
              </w:rPr>
              <w:t>R1</w:t>
            </w:r>
          </w:p>
        </w:tc>
        <w:tc>
          <w:tcPr>
            <w:tcW w:type="dxa" w:w="2948"/>
            <w:vAlign w:val="center"/>
          </w:tcPr>
          <w:p>
            <w:pPr>
              <w:spacing w:after="0" w:before="0" w:lineRule="auto" w:line="283"/>
              <w:jc w:val="left"/>
            </w:pPr>
            <w:r/>
            <w:r>
              <w:rPr>
                <w:rFonts w:ascii="Microsoft YaHei" w:hAnsi="Microsoft YaHei" w:eastAsia="Microsoft YaHei"/>
                <w:b w:val="0"/>
                <w:sz w:val="17"/>
              </w:rPr>
              <w:t>Camelot Technology 官网《About Us / Milestones / Operations Model》</w:t>
            </w:r>
          </w:p>
        </w:tc>
        <w:tc>
          <w:tcPr>
            <w:tcW w:type="dxa" w:w="4082"/>
            <w:vAlign w:val="center"/>
          </w:tcPr>
          <w:p>
            <w:pPr>
              <w:spacing w:after="0" w:before="0" w:lineRule="auto" w:line="283"/>
              <w:jc w:val="left"/>
            </w:pPr>
            <w:r/>
            <w:r>
              <w:rPr>
                <w:rFonts w:ascii="Microsoft YaHei" w:hAnsi="Microsoft YaHei" w:eastAsia="Microsoft YaHei"/>
                <w:b w:val="0"/>
                <w:sz w:val="17"/>
              </w:rPr>
              <w:t>https://www.camelotchina.com/en/about_us.html</w:t>
            </w:r>
          </w:p>
        </w:tc>
        <w:tc>
          <w:tcPr>
            <w:tcW w:type="dxa" w:w="1701"/>
            <w:vAlign w:val="center"/>
          </w:tcPr>
          <w:p>
            <w:pPr>
              <w:spacing w:after="0" w:before="0" w:lineRule="auto" w:line="283"/>
              <w:jc w:val="left"/>
            </w:pPr>
            <w:r/>
            <w:r>
              <w:rPr>
                <w:rFonts w:ascii="Microsoft YaHei" w:hAnsi="Microsoft YaHei" w:eastAsia="Microsoft YaHei"/>
                <w:b w:val="0"/>
                <w:sz w:val="17"/>
              </w:rPr>
              <w:t>用于公司定位、发展历程、交付模式、客户行业与关键里程碑。</w:t>
            </w:r>
          </w:p>
        </w:tc>
      </w:tr>
      <w:tr>
        <w:tc>
          <w:tcPr>
            <w:tcW w:type="dxa" w:w="850"/>
            <w:vAlign w:val="center"/>
          </w:tcPr>
          <w:p>
            <w:pPr>
              <w:spacing w:after="0" w:before="0" w:lineRule="auto" w:line="283"/>
              <w:jc w:val="center"/>
            </w:pPr>
            <w:r/>
            <w:r>
              <w:rPr>
                <w:rFonts w:ascii="Microsoft YaHei" w:hAnsi="Microsoft YaHei" w:eastAsia="Microsoft YaHei"/>
                <w:b w:val="0"/>
                <w:sz w:val="17"/>
              </w:rPr>
              <w:t>R2</w:t>
            </w:r>
          </w:p>
        </w:tc>
        <w:tc>
          <w:tcPr>
            <w:tcW w:type="dxa" w:w="2948"/>
            <w:vAlign w:val="center"/>
          </w:tcPr>
          <w:p>
            <w:pPr>
              <w:spacing w:after="0" w:before="0" w:lineRule="auto" w:line="283"/>
              <w:jc w:val="left"/>
            </w:pPr>
            <w:r/>
            <w:r>
              <w:rPr>
                <w:rFonts w:ascii="Microsoft YaHei" w:hAnsi="Microsoft YaHei" w:eastAsia="Microsoft YaHei"/>
                <w:b w:val="0"/>
                <w:sz w:val="17"/>
              </w:rPr>
              <w:t>Camelot Technology 官网《Core Services》</w:t>
            </w:r>
          </w:p>
        </w:tc>
        <w:tc>
          <w:tcPr>
            <w:tcW w:type="dxa" w:w="4082"/>
            <w:vAlign w:val="center"/>
          </w:tcPr>
          <w:p>
            <w:pPr>
              <w:spacing w:after="0" w:before="0" w:lineRule="auto" w:line="283"/>
              <w:jc w:val="left"/>
            </w:pPr>
            <w:r/>
            <w:r>
              <w:rPr>
                <w:rFonts w:ascii="Microsoft YaHei" w:hAnsi="Microsoft YaHei" w:eastAsia="Microsoft YaHei"/>
                <w:b w:val="0"/>
                <w:sz w:val="17"/>
              </w:rPr>
              <w:t>https://www.camelotchina.com/en/solution.html</w:t>
            </w:r>
          </w:p>
        </w:tc>
        <w:tc>
          <w:tcPr>
            <w:tcW w:type="dxa" w:w="1701"/>
            <w:vAlign w:val="center"/>
          </w:tcPr>
          <w:p>
            <w:pPr>
              <w:spacing w:after="0" w:before="0" w:lineRule="auto" w:line="283"/>
              <w:jc w:val="left"/>
            </w:pPr>
            <w:r/>
            <w:r>
              <w:rPr>
                <w:rFonts w:ascii="Microsoft YaHei" w:hAnsi="Microsoft YaHei" w:eastAsia="Microsoft YaHei"/>
                <w:b w:val="0"/>
                <w:sz w:val="17"/>
              </w:rPr>
              <w:t>用于综合信息技术服务、行业解决方案、离岸开发中心、云服务等公开服务边界。</w:t>
            </w:r>
          </w:p>
        </w:tc>
      </w:tr>
      <w:tr>
        <w:tc>
          <w:tcPr>
            <w:tcW w:type="dxa" w:w="850"/>
            <w:vAlign w:val="center"/>
          </w:tcPr>
          <w:p>
            <w:pPr>
              <w:spacing w:after="0" w:before="0" w:lineRule="auto" w:line="283"/>
              <w:jc w:val="center"/>
            </w:pPr>
            <w:r/>
            <w:r>
              <w:rPr>
                <w:rFonts w:ascii="Microsoft YaHei" w:hAnsi="Microsoft YaHei" w:eastAsia="Microsoft YaHei"/>
                <w:b w:val="0"/>
                <w:sz w:val="17"/>
              </w:rPr>
              <w:t>R3</w:t>
            </w:r>
          </w:p>
        </w:tc>
        <w:tc>
          <w:tcPr>
            <w:tcW w:type="dxa" w:w="2948"/>
            <w:vAlign w:val="center"/>
          </w:tcPr>
          <w:p>
            <w:pPr>
              <w:spacing w:after="0" w:before="0" w:lineRule="auto" w:line="283"/>
              <w:jc w:val="left"/>
            </w:pPr>
            <w:r/>
            <w:r>
              <w:rPr>
                <w:rFonts w:ascii="Microsoft YaHei" w:hAnsi="Microsoft YaHei" w:eastAsia="Microsoft YaHei"/>
                <w:b w:val="0"/>
                <w:sz w:val="17"/>
              </w:rPr>
              <w:t>Camelot Technology 官网《Operations and Maintenance Services》</w:t>
            </w:r>
          </w:p>
        </w:tc>
        <w:tc>
          <w:tcPr>
            <w:tcW w:type="dxa" w:w="4082"/>
            <w:vAlign w:val="center"/>
          </w:tcPr>
          <w:p>
            <w:pPr>
              <w:spacing w:after="0" w:before="0" w:lineRule="auto" w:line="283"/>
              <w:jc w:val="left"/>
            </w:pPr>
            <w:r/>
            <w:r>
              <w:rPr>
                <w:rFonts w:ascii="Microsoft YaHei" w:hAnsi="Microsoft YaHei" w:eastAsia="Microsoft YaHei"/>
                <w:b w:val="0"/>
                <w:sz w:val="17"/>
              </w:rPr>
              <w:t>https://www.camelotchina.com/en/solution.html?categoryId=6</w:t>
            </w:r>
          </w:p>
        </w:tc>
        <w:tc>
          <w:tcPr>
            <w:tcW w:type="dxa" w:w="1701"/>
            <w:vAlign w:val="center"/>
          </w:tcPr>
          <w:p>
            <w:pPr>
              <w:spacing w:after="0" w:before="0" w:lineRule="auto" w:line="283"/>
              <w:jc w:val="left"/>
            </w:pPr>
            <w:r/>
            <w:r>
              <w:rPr>
                <w:rFonts w:ascii="Microsoft YaHei" w:hAnsi="Microsoft YaHei" w:eastAsia="Microsoft YaHei"/>
                <w:b w:val="0"/>
                <w:sz w:val="17"/>
              </w:rPr>
              <w:t>用于业务流程外包、企业应用维护服务、SAP ERP 与第三方企业应用维护表述。</w:t>
            </w:r>
          </w:p>
        </w:tc>
      </w:tr>
      <w:tr>
        <w:tc>
          <w:tcPr>
            <w:tcW w:type="dxa" w:w="850"/>
            <w:vAlign w:val="center"/>
          </w:tcPr>
          <w:p>
            <w:pPr>
              <w:spacing w:after="0" w:before="0" w:lineRule="auto" w:line="283"/>
              <w:jc w:val="center"/>
            </w:pPr>
            <w:r/>
            <w:r>
              <w:rPr>
                <w:rFonts w:ascii="Microsoft YaHei" w:hAnsi="Microsoft YaHei" w:eastAsia="Microsoft YaHei"/>
                <w:b w:val="0"/>
                <w:sz w:val="17"/>
              </w:rPr>
              <w:t>R4</w:t>
            </w:r>
          </w:p>
        </w:tc>
        <w:tc>
          <w:tcPr>
            <w:tcW w:type="dxa" w:w="2948"/>
            <w:vAlign w:val="center"/>
          </w:tcPr>
          <w:p>
            <w:pPr>
              <w:spacing w:after="0" w:before="0" w:lineRule="auto" w:line="283"/>
              <w:jc w:val="left"/>
            </w:pPr>
            <w:r/>
            <w:r>
              <w:rPr>
                <w:rFonts w:ascii="Microsoft YaHei" w:hAnsi="Microsoft YaHei" w:eastAsia="Microsoft YaHei"/>
                <w:b w:val="0"/>
                <w:sz w:val="17"/>
              </w:rPr>
              <w:t>Camelot Technology 官网《Awards and Certifications》</w:t>
            </w:r>
          </w:p>
        </w:tc>
        <w:tc>
          <w:tcPr>
            <w:tcW w:type="dxa" w:w="4082"/>
            <w:vAlign w:val="center"/>
          </w:tcPr>
          <w:p>
            <w:pPr>
              <w:spacing w:after="0" w:before="0" w:lineRule="auto" w:line="283"/>
              <w:jc w:val="left"/>
            </w:pPr>
            <w:r/>
            <w:r>
              <w:rPr>
                <w:rFonts w:ascii="Microsoft YaHei" w:hAnsi="Microsoft YaHei" w:eastAsia="Microsoft YaHei"/>
                <w:b w:val="0"/>
                <w:sz w:val="17"/>
              </w:rPr>
              <w:t>https://www.camelotchina.com/en/honors.html</w:t>
            </w:r>
          </w:p>
        </w:tc>
        <w:tc>
          <w:tcPr>
            <w:tcW w:type="dxa" w:w="1701"/>
            <w:vAlign w:val="center"/>
          </w:tcPr>
          <w:p>
            <w:pPr>
              <w:spacing w:after="0" w:before="0" w:lineRule="auto" w:line="283"/>
              <w:jc w:val="left"/>
            </w:pPr>
            <w:r/>
            <w:r>
              <w:rPr>
                <w:rFonts w:ascii="Microsoft YaHei" w:hAnsi="Microsoft YaHei" w:eastAsia="Microsoft YaHei"/>
                <w:b w:val="0"/>
                <w:sz w:val="17"/>
              </w:rPr>
              <w:t>用于荣誉、CMMI5、解决方案类奖项等补充材料。</w:t>
            </w:r>
          </w:p>
        </w:tc>
      </w:tr>
      <w:tr>
        <w:tc>
          <w:tcPr>
            <w:tcW w:type="dxa" w:w="850"/>
            <w:vAlign w:val="center"/>
          </w:tcPr>
          <w:p>
            <w:pPr>
              <w:spacing w:after="0" w:before="0" w:lineRule="auto" w:line="283"/>
              <w:jc w:val="center"/>
            </w:pPr>
            <w:r/>
            <w:r>
              <w:rPr>
                <w:rFonts w:ascii="Microsoft YaHei" w:hAnsi="Microsoft YaHei" w:eastAsia="Microsoft YaHei"/>
                <w:b w:val="0"/>
                <w:sz w:val="17"/>
              </w:rPr>
              <w:t>R5</w:t>
            </w:r>
          </w:p>
        </w:tc>
        <w:tc>
          <w:tcPr>
            <w:tcW w:type="dxa" w:w="2948"/>
            <w:vAlign w:val="center"/>
          </w:tcPr>
          <w:p>
            <w:pPr>
              <w:spacing w:after="0" w:before="0" w:lineRule="auto" w:line="283"/>
              <w:jc w:val="left"/>
            </w:pPr>
            <w:r/>
            <w:r>
              <w:rPr>
                <w:rFonts w:ascii="Microsoft YaHei" w:hAnsi="Microsoft YaHei" w:eastAsia="Microsoft YaHei"/>
                <w:b w:val="0"/>
                <w:sz w:val="17"/>
              </w:rPr>
              <w:t>《柯莱特集团简介》PDF（公司介绍材料）</w:t>
            </w:r>
          </w:p>
        </w:tc>
        <w:tc>
          <w:tcPr>
            <w:tcW w:type="dxa" w:w="4082"/>
            <w:vAlign w:val="center"/>
          </w:tcPr>
          <w:p>
            <w:pPr>
              <w:spacing w:after="0" w:before="0" w:lineRule="auto" w:line="283"/>
              <w:jc w:val="left"/>
            </w:pPr>
            <w:r/>
            <w:r>
              <w:rPr>
                <w:rFonts w:ascii="Microsoft YaHei" w:hAnsi="Microsoft YaHei" w:eastAsia="Microsoft YaHei"/>
                <w:b w:val="0"/>
                <w:sz w:val="17"/>
              </w:rPr>
              <w:t>https://img203.kttx.cn/images/files/20230412/129e107a75f74df8993d0e0aeeabce92.pdf</w:t>
            </w:r>
          </w:p>
        </w:tc>
        <w:tc>
          <w:tcPr>
            <w:tcW w:type="dxa" w:w="1701"/>
            <w:vAlign w:val="center"/>
          </w:tcPr>
          <w:p>
            <w:pPr>
              <w:spacing w:after="0" w:before="0" w:lineRule="auto" w:line="283"/>
              <w:jc w:val="left"/>
            </w:pPr>
            <w:r/>
            <w:r>
              <w:rPr>
                <w:rFonts w:ascii="Microsoft YaHei" w:hAnsi="Microsoft YaHei" w:eastAsia="Microsoft YaHei"/>
                <w:b w:val="0"/>
                <w:sz w:val="17"/>
              </w:rPr>
              <w:t>用于补充金融大数据方案、制造/物流方案、BPO 细项、定制化服务图谱与离岸交付说明。</w:t>
            </w:r>
          </w:p>
        </w:tc>
      </w:tr>
      <w:tr>
        <w:tc>
          <w:tcPr>
            <w:tcW w:type="dxa" w:w="850"/>
            <w:vAlign w:val="center"/>
          </w:tcPr>
          <w:p>
            <w:pPr>
              <w:spacing w:after="0" w:before="0" w:lineRule="auto" w:line="283"/>
              <w:jc w:val="center"/>
            </w:pPr>
            <w:r/>
            <w:r>
              <w:rPr>
                <w:rFonts w:ascii="Microsoft YaHei" w:hAnsi="Microsoft YaHei" w:eastAsia="Microsoft YaHei"/>
                <w:b w:val="0"/>
                <w:sz w:val="17"/>
              </w:rPr>
              <w:t>R6</w:t>
            </w:r>
          </w:p>
        </w:tc>
        <w:tc>
          <w:tcPr>
            <w:tcW w:type="dxa" w:w="2948"/>
            <w:vAlign w:val="center"/>
          </w:tcPr>
          <w:p>
            <w:pPr>
              <w:spacing w:after="0" w:before="0" w:lineRule="auto" w:line="283"/>
              <w:jc w:val="left"/>
            </w:pPr>
            <w:r/>
            <w:r>
              <w:rPr>
                <w:rFonts w:ascii="Microsoft YaHei" w:hAnsi="Microsoft YaHei" w:eastAsia="Microsoft YaHei"/>
                <w:b w:val="0"/>
                <w:sz w:val="17"/>
              </w:rPr>
              <w:t>金山云 2022 年香港上市文件《Business / History, Development and Corporate Structure》</w:t>
            </w:r>
          </w:p>
        </w:tc>
        <w:tc>
          <w:tcPr>
            <w:tcW w:type="dxa" w:w="4082"/>
            <w:vAlign w:val="center"/>
          </w:tcPr>
          <w:p>
            <w:pPr>
              <w:spacing w:after="0" w:before="0" w:lineRule="auto" w:line="283"/>
              <w:jc w:val="left"/>
            </w:pPr>
            <w:r/>
            <w:r>
              <w:rPr>
                <w:rFonts w:ascii="Microsoft YaHei" w:hAnsi="Microsoft YaHei" w:eastAsia="Microsoft YaHei"/>
                <w:b w:val="0"/>
                <w:sz w:val="17"/>
              </w:rPr>
              <w:t>https://www1.hkexnews.hk/listedco/listconews/sehk/2022/1223/2022122300081.pdf</w:t>
            </w:r>
          </w:p>
        </w:tc>
        <w:tc>
          <w:tcPr>
            <w:tcW w:type="dxa" w:w="1701"/>
            <w:vAlign w:val="center"/>
          </w:tcPr>
          <w:p>
            <w:pPr>
              <w:spacing w:after="0" w:before="0" w:lineRule="auto" w:line="283"/>
              <w:jc w:val="left"/>
            </w:pPr>
            <w:r/>
            <w:r>
              <w:rPr>
                <w:rFonts w:ascii="Microsoft YaHei" w:hAnsi="Microsoft YaHei" w:eastAsia="Microsoft YaHei"/>
                <w:b w:val="0"/>
                <w:sz w:val="17"/>
              </w:rPr>
              <w:t>用于 Camelot 并购后业务定位、Camelot 贡献、人员结构、企业云项目说明等。</w:t>
            </w:r>
          </w:p>
        </w:tc>
      </w:tr>
      <w:tr>
        <w:tc>
          <w:tcPr>
            <w:tcW w:type="dxa" w:w="850"/>
            <w:vAlign w:val="center"/>
          </w:tcPr>
          <w:p>
            <w:pPr>
              <w:spacing w:after="0" w:before="0" w:lineRule="auto" w:line="283"/>
              <w:jc w:val="center"/>
            </w:pPr>
            <w:r/>
            <w:r>
              <w:rPr>
                <w:rFonts w:ascii="Microsoft YaHei" w:hAnsi="Microsoft YaHei" w:eastAsia="Microsoft YaHei"/>
                <w:b w:val="0"/>
                <w:sz w:val="17"/>
              </w:rPr>
              <w:t>R7</w:t>
            </w:r>
          </w:p>
        </w:tc>
        <w:tc>
          <w:tcPr>
            <w:tcW w:type="dxa" w:w="2948"/>
            <w:vAlign w:val="center"/>
          </w:tcPr>
          <w:p>
            <w:pPr>
              <w:spacing w:after="0" w:before="0" w:lineRule="auto" w:line="283"/>
              <w:jc w:val="left"/>
            </w:pPr>
            <w:r/>
            <w:r>
              <w:rPr>
                <w:rFonts w:ascii="Microsoft YaHei" w:hAnsi="Microsoft YaHei" w:eastAsia="Microsoft YaHei"/>
                <w:b w:val="0"/>
                <w:sz w:val="17"/>
              </w:rPr>
              <w:t>金山云 2022 年香港上市文件《Financial Information》</w:t>
            </w:r>
          </w:p>
        </w:tc>
        <w:tc>
          <w:tcPr>
            <w:tcW w:type="dxa" w:w="4082"/>
            <w:vAlign w:val="center"/>
          </w:tcPr>
          <w:p>
            <w:pPr>
              <w:spacing w:after="0" w:before="0" w:lineRule="auto" w:line="283"/>
              <w:jc w:val="left"/>
            </w:pPr>
            <w:r/>
            <w:r>
              <w:rPr>
                <w:rFonts w:ascii="Microsoft YaHei" w:hAnsi="Microsoft YaHei" w:eastAsia="Microsoft YaHei"/>
                <w:b w:val="0"/>
                <w:sz w:val="17"/>
              </w:rPr>
              <w:t>https://www1.hkexnews.hk/listedco/listconews/sehk/2022/1223/10550930/2022122300132.pdf</w:t>
            </w:r>
          </w:p>
        </w:tc>
        <w:tc>
          <w:tcPr>
            <w:tcW w:type="dxa" w:w="1701"/>
            <w:vAlign w:val="center"/>
          </w:tcPr>
          <w:p>
            <w:pPr>
              <w:spacing w:after="0" w:before="0" w:lineRule="auto" w:line="283"/>
              <w:jc w:val="left"/>
            </w:pPr>
            <w:r/>
            <w:r>
              <w:rPr>
                <w:rFonts w:ascii="Microsoft YaHei" w:hAnsi="Microsoft YaHei" w:eastAsia="Microsoft YaHei"/>
                <w:b w:val="0"/>
                <w:sz w:val="17"/>
              </w:rPr>
              <w:t>用于 Camelot Group 并购前独立财务、盈利、现金流与成本结构。</w:t>
            </w:r>
          </w:p>
        </w:tc>
      </w:tr>
      <w:tr>
        <w:tc>
          <w:tcPr>
            <w:tcW w:type="dxa" w:w="850"/>
            <w:vAlign w:val="center"/>
          </w:tcPr>
          <w:p>
            <w:pPr>
              <w:spacing w:after="0" w:before="0" w:lineRule="auto" w:line="283"/>
              <w:jc w:val="center"/>
            </w:pPr>
            <w:r/>
            <w:r>
              <w:rPr>
                <w:rFonts w:ascii="Microsoft YaHei" w:hAnsi="Microsoft YaHei" w:eastAsia="Microsoft YaHei"/>
                <w:b w:val="0"/>
                <w:sz w:val="17"/>
              </w:rPr>
              <w:t>R8</w:t>
            </w:r>
          </w:p>
        </w:tc>
        <w:tc>
          <w:tcPr>
            <w:tcW w:type="dxa" w:w="2948"/>
            <w:vAlign w:val="center"/>
          </w:tcPr>
          <w:p>
            <w:pPr>
              <w:spacing w:after="0" w:before="0" w:lineRule="auto" w:line="283"/>
              <w:jc w:val="left"/>
            </w:pPr>
            <w:r/>
            <w:r>
              <w:rPr>
                <w:rFonts w:ascii="Microsoft YaHei" w:hAnsi="Microsoft YaHei" w:eastAsia="Microsoft YaHei"/>
                <w:b w:val="0"/>
                <w:sz w:val="17"/>
              </w:rPr>
              <w:t>金山云 2024 年年度报告</w:t>
            </w:r>
          </w:p>
        </w:tc>
        <w:tc>
          <w:tcPr>
            <w:tcW w:type="dxa" w:w="4082"/>
            <w:vAlign w:val="center"/>
          </w:tcPr>
          <w:p>
            <w:pPr>
              <w:spacing w:after="0" w:before="0" w:lineRule="auto" w:line="283"/>
              <w:jc w:val="left"/>
            </w:pPr>
            <w:r/>
            <w:r>
              <w:rPr>
                <w:rFonts w:ascii="Microsoft YaHei" w:hAnsi="Microsoft YaHei" w:eastAsia="Microsoft YaHei"/>
                <w:b w:val="0"/>
                <w:sz w:val="17"/>
              </w:rPr>
              <w:t>https://ir.ksyun.com/system/files-encrypted/nasdaq_kms/assets/2025/04/15/8-24-54/HKEX-EPS_20250415_11627957_0.pdf</w:t>
            </w:r>
          </w:p>
        </w:tc>
        <w:tc>
          <w:tcPr>
            <w:tcW w:type="dxa" w:w="1701"/>
            <w:vAlign w:val="center"/>
          </w:tcPr>
          <w:p>
            <w:pPr>
              <w:spacing w:after="0" w:before="0" w:lineRule="auto" w:line="283"/>
              <w:jc w:val="left"/>
            </w:pPr>
            <w:r/>
            <w:r>
              <w:rPr>
                <w:rFonts w:ascii="Microsoft YaHei" w:hAnsi="Microsoft YaHei" w:eastAsia="Microsoft YaHei"/>
                <w:b w:val="0"/>
                <w:sz w:val="17"/>
              </w:rPr>
              <w:t>用于 2024 年集团收入、企业云收入、员工结构、柯莱特 92.23% 持股口径。</w:t>
            </w:r>
          </w:p>
        </w:tc>
      </w:tr>
      <w:tr>
        <w:tc>
          <w:tcPr>
            <w:tcW w:type="dxa" w:w="850"/>
            <w:vAlign w:val="center"/>
          </w:tcPr>
          <w:p>
            <w:pPr>
              <w:spacing w:after="0" w:before="0" w:lineRule="auto" w:line="283"/>
              <w:jc w:val="center"/>
            </w:pPr>
            <w:r/>
            <w:r>
              <w:rPr>
                <w:rFonts w:ascii="Microsoft YaHei" w:hAnsi="Microsoft YaHei" w:eastAsia="Microsoft YaHei"/>
                <w:b w:val="0"/>
                <w:sz w:val="17"/>
              </w:rPr>
              <w:t>R9</w:t>
            </w:r>
          </w:p>
        </w:tc>
        <w:tc>
          <w:tcPr>
            <w:tcW w:type="dxa" w:w="2948"/>
            <w:vAlign w:val="center"/>
          </w:tcPr>
          <w:p>
            <w:pPr>
              <w:spacing w:after="0" w:before="0" w:lineRule="auto" w:line="283"/>
              <w:jc w:val="left"/>
            </w:pPr>
            <w:r/>
            <w:r>
              <w:rPr>
                <w:rFonts w:ascii="Microsoft YaHei" w:hAnsi="Microsoft YaHei" w:eastAsia="Microsoft YaHei"/>
                <w:b w:val="0"/>
                <w:sz w:val="17"/>
              </w:rPr>
              <w:t>金山云 2025 年第四季度及全年未经审计业绩公告</w:t>
            </w:r>
          </w:p>
        </w:tc>
        <w:tc>
          <w:tcPr>
            <w:tcW w:type="dxa" w:w="4082"/>
            <w:vAlign w:val="center"/>
          </w:tcPr>
          <w:p>
            <w:pPr>
              <w:spacing w:after="0" w:before="0" w:lineRule="auto" w:line="283"/>
              <w:jc w:val="left"/>
            </w:pPr>
            <w:r/>
            <w:r>
              <w:rPr>
                <w:rFonts w:ascii="Microsoft YaHei" w:hAnsi="Microsoft YaHei" w:eastAsia="Microsoft YaHei"/>
                <w:b w:val="0"/>
                <w:sz w:val="17"/>
              </w:rPr>
              <w:t>https://www.hkexnews.hk/listedco/listconews/sehk/2026/0325/2026032501463.pdf</w:t>
            </w:r>
          </w:p>
        </w:tc>
        <w:tc>
          <w:tcPr>
            <w:tcW w:type="dxa" w:w="1701"/>
            <w:vAlign w:val="center"/>
          </w:tcPr>
          <w:p>
            <w:pPr>
              <w:spacing w:after="0" w:before="0" w:lineRule="auto" w:line="283"/>
              <w:jc w:val="left"/>
            </w:pPr>
            <w:r/>
            <w:r>
              <w:rPr>
                <w:rFonts w:ascii="Microsoft YaHei" w:hAnsi="Microsoft YaHei" w:eastAsia="Microsoft YaHei"/>
                <w:b w:val="0"/>
                <w:sz w:val="17"/>
              </w:rPr>
              <w:t>用于 2025 年集团收入、企业云收入、员工结构与最新业务口径。</w:t>
            </w:r>
          </w:p>
        </w:tc>
      </w:tr>
      <w:tr>
        <w:tc>
          <w:tcPr>
            <w:tcW w:type="dxa" w:w="850"/>
            <w:vAlign w:val="center"/>
          </w:tcPr>
          <w:p>
            <w:pPr>
              <w:spacing w:after="0" w:before="0" w:lineRule="auto" w:line="283"/>
              <w:jc w:val="center"/>
            </w:pPr>
            <w:r/>
            <w:r>
              <w:rPr>
                <w:rFonts w:ascii="Microsoft YaHei" w:hAnsi="Microsoft YaHei" w:eastAsia="Microsoft YaHei"/>
                <w:b w:val="0"/>
                <w:sz w:val="17"/>
              </w:rPr>
              <w:t>R10</w:t>
            </w:r>
          </w:p>
        </w:tc>
        <w:tc>
          <w:tcPr>
            <w:tcW w:type="dxa" w:w="2948"/>
            <w:vAlign w:val="center"/>
          </w:tcPr>
          <w:p>
            <w:pPr>
              <w:spacing w:after="0" w:before="0" w:lineRule="auto" w:line="283"/>
              <w:jc w:val="left"/>
            </w:pPr>
            <w:r/>
            <w:r>
              <w:rPr>
                <w:rFonts w:ascii="Microsoft YaHei" w:hAnsi="Microsoft YaHei" w:eastAsia="Microsoft YaHei"/>
                <w:b w:val="0"/>
                <w:sz w:val="17"/>
              </w:rPr>
              <w:t>Camelot Information Systems 2010 年招股书 / SEC 文件</w:t>
            </w:r>
          </w:p>
        </w:tc>
        <w:tc>
          <w:tcPr>
            <w:tcW w:type="dxa" w:w="4082"/>
            <w:vAlign w:val="center"/>
          </w:tcPr>
          <w:p>
            <w:pPr>
              <w:spacing w:after="0" w:before="0" w:lineRule="auto" w:line="283"/>
              <w:jc w:val="left"/>
            </w:pPr>
            <w:r/>
            <w:r>
              <w:rPr>
                <w:rFonts w:ascii="Microsoft YaHei" w:hAnsi="Microsoft YaHei" w:eastAsia="Microsoft YaHei"/>
                <w:b w:val="0"/>
                <w:sz w:val="17"/>
              </w:rPr>
              <w:t>https://www.sec.gov/Archives/edgar/data/1487295/000095012310063818/h03859a1fv1za.htm</w:t>
            </w:r>
          </w:p>
        </w:tc>
        <w:tc>
          <w:tcPr>
            <w:tcW w:type="dxa" w:w="1701"/>
            <w:vAlign w:val="center"/>
          </w:tcPr>
          <w:p>
            <w:pPr>
              <w:spacing w:after="0" w:before="0" w:lineRule="auto" w:line="283"/>
              <w:jc w:val="left"/>
            </w:pPr>
            <w:r/>
            <w:r>
              <w:rPr>
                <w:rFonts w:ascii="Microsoft YaHei" w:hAnsi="Microsoft YaHei" w:eastAsia="Microsoft YaHei"/>
                <w:b w:val="0"/>
                <w:sz w:val="17"/>
              </w:rPr>
              <w:t>用于历史业务分类（企业应用服务 / 金融行业信息技术服务）及其收入占比。</w:t>
            </w:r>
          </w:p>
        </w:tc>
      </w:tr>
      <w:tr>
        <w:tc>
          <w:tcPr>
            <w:tcW w:type="dxa" w:w="850"/>
            <w:vAlign w:val="center"/>
          </w:tcPr>
          <w:p>
            <w:pPr>
              <w:spacing w:after="0" w:before="0" w:lineRule="auto" w:line="283"/>
              <w:jc w:val="center"/>
            </w:pPr>
            <w:r/>
            <w:r>
              <w:rPr>
                <w:rFonts w:ascii="Microsoft YaHei" w:hAnsi="Microsoft YaHei" w:eastAsia="Microsoft YaHei"/>
                <w:b w:val="0"/>
                <w:sz w:val="17"/>
              </w:rPr>
              <w:t>R11</w:t>
            </w:r>
          </w:p>
        </w:tc>
        <w:tc>
          <w:tcPr>
            <w:tcW w:type="dxa" w:w="2948"/>
            <w:vAlign w:val="center"/>
          </w:tcPr>
          <w:p>
            <w:pPr>
              <w:spacing w:after="0" w:before="0" w:lineRule="auto" w:line="283"/>
              <w:jc w:val="left"/>
            </w:pPr>
            <w:r/>
            <w:r>
              <w:rPr>
                <w:rFonts w:ascii="Microsoft YaHei" w:hAnsi="Microsoft YaHei" w:eastAsia="Microsoft YaHei"/>
                <w:b w:val="0"/>
                <w:sz w:val="17"/>
              </w:rPr>
              <w:t>Kingsoft Cloud 2021 年 8 月 2 日收购 Camelot 官方新闻稿（SEC Exhibit 99.1）</w:t>
            </w:r>
          </w:p>
        </w:tc>
        <w:tc>
          <w:tcPr>
            <w:tcW w:type="dxa" w:w="4082"/>
            <w:vAlign w:val="center"/>
          </w:tcPr>
          <w:p>
            <w:pPr>
              <w:spacing w:after="0" w:before="0" w:lineRule="auto" w:line="283"/>
              <w:jc w:val="left"/>
            </w:pPr>
            <w:r/>
            <w:r>
              <w:rPr>
                <w:rFonts w:ascii="Microsoft YaHei" w:hAnsi="Microsoft YaHei" w:eastAsia="Microsoft YaHei"/>
                <w:b w:val="0"/>
                <w:sz w:val="17"/>
              </w:rPr>
              <w:t>https://www.sec.gov/Archives/edgar/data/1795589/000119312521232301/d206921dex991.htm</w:t>
            </w:r>
          </w:p>
        </w:tc>
        <w:tc>
          <w:tcPr>
            <w:tcW w:type="dxa" w:w="1701"/>
            <w:vAlign w:val="center"/>
          </w:tcPr>
          <w:p>
            <w:pPr>
              <w:spacing w:after="0" w:before="0" w:lineRule="auto" w:line="283"/>
              <w:jc w:val="left"/>
            </w:pPr>
            <w:r/>
            <w:r>
              <w:rPr>
                <w:rFonts w:ascii="Microsoft YaHei" w:hAnsi="Microsoft YaHei" w:eastAsia="Microsoft YaHei"/>
                <w:b w:val="0"/>
                <w:sz w:val="17"/>
              </w:rPr>
              <w:t>用于 213 家优质客户、94% 重复收入率、38 亿元在手订单、核心高管背景。</w:t>
            </w:r>
          </w:p>
        </w:tc>
      </w:tr>
      <w:tr>
        <w:tc>
          <w:tcPr>
            <w:tcW w:type="dxa" w:w="850"/>
            <w:vAlign w:val="center"/>
          </w:tcPr>
          <w:p>
            <w:pPr>
              <w:spacing w:after="0" w:before="0" w:lineRule="auto" w:line="283"/>
              <w:jc w:val="center"/>
            </w:pPr>
            <w:r/>
            <w:r>
              <w:rPr>
                <w:rFonts w:ascii="Microsoft YaHei" w:hAnsi="Microsoft YaHei" w:eastAsia="Microsoft YaHei"/>
                <w:b w:val="0"/>
                <w:sz w:val="17"/>
              </w:rPr>
              <w:t>R12</w:t>
            </w:r>
          </w:p>
        </w:tc>
        <w:tc>
          <w:tcPr>
            <w:tcW w:type="dxa" w:w="2948"/>
            <w:vAlign w:val="center"/>
          </w:tcPr>
          <w:p>
            <w:pPr>
              <w:spacing w:after="0" w:before="0" w:lineRule="auto" w:line="283"/>
              <w:jc w:val="left"/>
            </w:pPr>
            <w:r/>
            <w:r>
              <w:rPr>
                <w:rFonts w:ascii="Microsoft YaHei" w:hAnsi="Microsoft YaHei" w:eastAsia="Microsoft YaHei"/>
                <w:b w:val="0"/>
                <w:sz w:val="17"/>
              </w:rPr>
              <w:t>金山云 2023 年 20-F 年报</w:t>
            </w:r>
          </w:p>
        </w:tc>
        <w:tc>
          <w:tcPr>
            <w:tcW w:type="dxa" w:w="4082"/>
            <w:vAlign w:val="center"/>
          </w:tcPr>
          <w:p>
            <w:pPr>
              <w:spacing w:after="0" w:before="0" w:lineRule="auto" w:line="283"/>
              <w:jc w:val="left"/>
            </w:pPr>
            <w:r/>
            <w:r>
              <w:rPr>
                <w:rFonts w:ascii="Microsoft YaHei" w:hAnsi="Microsoft YaHei" w:eastAsia="Microsoft YaHei"/>
                <w:b w:val="0"/>
                <w:sz w:val="17"/>
              </w:rPr>
              <w:t>https://ir.ksyun.com/system/files-encrypted/nasdaq_kms/assets/2024/04/30/7-51-36/Kingsoft%20Cloud%20Holdings%20Limited_20-F.pdf</w:t>
            </w:r>
          </w:p>
        </w:tc>
        <w:tc>
          <w:tcPr>
            <w:tcW w:type="dxa" w:w="1701"/>
            <w:vAlign w:val="center"/>
          </w:tcPr>
          <w:p>
            <w:pPr>
              <w:spacing w:after="0" w:before="0" w:lineRule="auto" w:line="283"/>
              <w:jc w:val="left"/>
            </w:pPr>
            <w:r/>
            <w:r>
              <w:rPr>
                <w:rFonts w:ascii="Microsoft YaHei" w:hAnsi="Microsoft YaHei" w:eastAsia="Microsoft YaHei"/>
                <w:b w:val="0"/>
                <w:sz w:val="17"/>
              </w:rPr>
              <w:t>用于 2023 年集团收入、企业云收入、优质客户指标与并表后交叉销售描述。</w:t>
            </w:r>
          </w:p>
        </w:tc>
      </w:tr>
    </w:tbl>
    <w:p/>
    <w:p>
      <w:pPr>
        <w:pStyle w:val="SubtitleCN"/>
        <w:jc w:val="center"/>
      </w:pPr>
      <w:r>
        <w:rPr>
          <w:rFonts w:ascii="Microsoft YaHei" w:hAnsi="Microsoft YaHei" w:eastAsia="Microsoft YaHei"/>
          <w:color w:val="787878"/>
          <w:sz w:val="20"/>
        </w:rPr>
        <w:t>—— 报告完 ——</w:t>
      </w:r>
    </w:p>
    <w:sectPr w:rsidR="00FC693F" w:rsidRPr="0006063C" w:rsidSect="00034616">
      <w:footerReference w:type="default" r:id="rId9"/>
      <w:pgSz w:w="11906" w:h="16838"/>
      <w:pgMar w:top="1247" w:right="1247" w:bottom="1020"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787878"/>
        <w:sz w:val="18"/>
      </w:rPr>
      <w:t>柯莱特公司现状与业务结构调研报告 V4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24"/>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CN">
    <w:name w:val="BodyCN"/>
    <w:basedOn w:val="Normal"/>
    <w:rPr>
      <w:rFonts w:ascii="Microsoft YaHei" w:hAnsi="Microsoft YaHei" w:eastAsia="Microsoft YaHei"/>
      <w:sz w:val="21"/>
    </w:rPr>
  </w:style>
  <w:style w:type="paragraph" w:customStyle="1" w:styleId="SmallCN">
    <w:name w:val="SmallCN"/>
    <w:basedOn w:val="Normal"/>
    <w:rPr>
      <w:rFonts w:ascii="Microsoft YaHei" w:hAnsi="Microsoft YaHei" w:eastAsia="Microsoft YaHei"/>
      <w:sz w:val="18"/>
    </w:rPr>
  </w:style>
  <w:style w:type="paragraph" w:customStyle="1" w:styleId="TitleCN">
    <w:name w:val="TitleCN"/>
    <w:pPr>
      <w:spacing w:before="0" w:after="120"/>
    </w:pPr>
    <w:rPr>
      <w:rFonts w:ascii="Microsoft YaHei" w:hAnsi="Microsoft YaHei" w:eastAsia="Microsoft YaHei"/>
      <w:b/>
      <w:color w:val="1F4E79"/>
      <w:sz w:val="44"/>
    </w:rPr>
  </w:style>
  <w:style w:type="paragraph" w:customStyle="1" w:styleId="SubtitleCN">
    <w:name w:val="SubtitleCN"/>
    <w:pPr>
      <w:spacing w:before="0" w:after="120"/>
    </w:pPr>
    <w:rPr>
      <w:rFonts w:ascii="Microsoft YaHei" w:hAnsi="Microsoft YaHei" w:eastAsia="Microsoft YaHei"/>
      <w:b w:val="0"/>
      <w:color w:val="666666"/>
      <w:sz w:val="22"/>
    </w:rPr>
  </w:style>
  <w:style w:type="paragraph" w:customStyle="1" w:styleId="Heading1CN">
    <w:name w:val="Heading1CN"/>
    <w:pPr>
      <w:spacing w:before="200" w:after="120"/>
    </w:pPr>
    <w:rPr>
      <w:rFonts w:ascii="Microsoft YaHei" w:hAnsi="Microsoft YaHei" w:eastAsia="Microsoft YaHei"/>
      <w:b/>
      <w:color w:val="1F4E79"/>
      <w:sz w:val="30"/>
    </w:rPr>
  </w:style>
  <w:style w:type="paragraph" w:customStyle="1" w:styleId="Heading2CN">
    <w:name w:val="Heading2CN"/>
    <w:pPr>
      <w:spacing w:before="200" w:after="120"/>
    </w:pPr>
    <w:rPr>
      <w:rFonts w:ascii="Microsoft YaHei" w:hAnsi="Microsoft YaHei" w:eastAsia="Microsoft YaHei"/>
      <w:b/>
      <w:color w:val="2E2E2E"/>
      <w:sz w:val="24"/>
    </w:rPr>
  </w:style>
  <w:style w:type="paragraph" w:customStyle="1" w:styleId="Heading3CN">
    <w:name w:val="Heading3CN"/>
    <w:pPr>
      <w:spacing w:before="200" w:after="120"/>
    </w:pPr>
    <w:rPr>
      <w:rFonts w:ascii="Microsoft YaHei" w:hAnsi="Microsoft YaHei" w:eastAsia="Microsoft YaHei"/>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