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rFonts w:eastAsia="Noto Sans CJK SC"/>
        </w:rPr>
        <w:t>柯莱特在 AI 浪潮与政策环境下的影响</w:t>
        <w:br/>
        <w:t>及组织、绩效调整建议</w:t>
      </w:r>
    </w:p>
    <w:p>
      <w:pPr>
        <w:pStyle w:val="SubTitleCN"/>
        <w:jc w:val="center"/>
      </w:pPr>
      <w:r>
        <w:rPr>
          <w:rFonts w:eastAsia="Noto Sans CJK SC"/>
        </w:rPr>
        <w:t>基于既有研究材料的整合分析版本｜突出 ITO 业务线｜面向管理层讨论稿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r>
              <w:t>核心结论</w:t>
              <w:br/>
              <w:t>• 柯莱特面对的不是“整体变好”或“整体变坏”，而是业务结构重排：高 SAP 暴露业务承压，ITO、金融、制造、上云与本地化交付的战略价值上升。</w:t>
              <w:br/>
              <w:t>• ITO 不应再被视为配套交付资源，而应被提升为与 SAP 同级的重要业务线；它的转型核心不是“多加 AI 工具”，而是从按人天供给资源，升级为按结果、范围和服务水平交付。</w:t>
              <w:br/>
              <w:t>• 未来最合适的组织调整，不是简单设一个 AI 部门，而是形成“前台经营单元 + 中台治理平台 + 专业交付中心”的结构。</w:t>
              <w:br/>
              <w:t>• 绩效必须从“劳动量、人数、工时”转向“结果、杠杆、复用、毛利、续约、质量”，否则 AI 转型会被旧考核体系抵消。</w:t>
            </w:r>
          </w:p>
        </w:tc>
      </w:tr>
    </w:tbl>
    <w:p/>
    <w:p>
      <w:pPr>
        <w:pStyle w:val="Heading1CN"/>
      </w:pPr>
      <w:r>
        <w:rPr>
          <w:rFonts w:eastAsia="Noto Sans CJK SC"/>
        </w:rPr>
        <w:t>一、分析对象与判断口径</w:t>
      </w:r>
    </w:p>
    <w:p>
      <w:pPr>
        <w:spacing w:line="331" w:lineRule="auto" w:after="120"/>
      </w:pPr>
      <w:r>
        <w:rPr>
          <w:rFonts w:eastAsia="Noto Sans CJK SC"/>
        </w:rPr>
        <w:t>本文基于前序沉淀的四份材料进行整合：柯莱特公司现状与业务结构调研、柯莱特在中国未来业务发展分析、AI 能力边界、以及 AI 转型策略。由于柯莱特已并入金山云合并报表，当前公开市场难以持续获取其单体精确财务分部，因此本文对“当前业务线占比”采用“历史公开数据 + 当前官网业务边界 + 并表后母公司口径”的分析判断方式，而不是把它写成正式披露数据。</w:t>
      </w:r>
    </w:p>
    <w:p>
      <w:pPr>
        <w:spacing w:line="331" w:lineRule="auto" w:after="120"/>
      </w:pPr>
      <w:r>
        <w:rPr>
          <w:rFonts w:eastAsia="Noto Sans CJK SC"/>
        </w:rPr>
        <w:t>本文的重点不是重新解释公司历史，而是回答两个管理问题：第一，AI 浪潮与政策变化对柯莱特当前各条业务线分别意味着什么；第二，如果公司要顺着这一变化去调整组织关系与绩效关系，什么样的设计最合适。</w:t>
      </w:r>
    </w:p>
    <w:p>
      <w:pPr>
        <w:pStyle w:val="Heading1CN"/>
      </w:pPr>
      <w:r>
        <w:rPr>
          <w:rFonts w:eastAsia="Noto Sans CJK SC"/>
        </w:rPr>
        <w:t>二、先给判断：对柯莱特的好影响与不好的影响</w:t>
      </w:r>
    </w:p>
    <w:p>
      <w:pPr>
        <w:pStyle w:val="Heading2CN"/>
      </w:pPr>
      <w:r>
        <w:rPr>
          <w:rFonts w:eastAsia="Noto Sans CJK SC"/>
        </w:rPr>
        <w:t>2.1 有利影响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影响类别</w:t>
            </w:r>
          </w:p>
        </w:tc>
        <w:tc>
          <w:tcPr>
            <w:tcW w:type="dxa" w:w="3249"/>
            <w:shd w:fill="D9EAF7"/>
          </w:tcPr>
          <w:p>
            <w:r>
              <w:t>具体表现</w:t>
            </w:r>
          </w:p>
        </w:tc>
        <w:tc>
          <w:tcPr>
            <w:tcW w:type="dxa" w:w="3249"/>
            <w:shd w:fill="D9EAF7"/>
          </w:tcPr>
          <w:p>
            <w:r>
              <w:t>为什么这是机会</w:t>
            </w:r>
          </w:p>
        </w:tc>
      </w:tr>
      <w:tr>
        <w:tc>
          <w:tcPr>
            <w:tcW w:type="dxa" w:w="3249"/>
          </w:tcPr>
          <w:p>
            <w:r>
              <w:t>行业方案需求增强</w:t>
            </w:r>
          </w:p>
        </w:tc>
        <w:tc>
          <w:tcPr>
            <w:tcW w:type="dxa" w:w="3249"/>
          </w:tcPr>
          <w:p>
            <w:r>
              <w:t>金融、制造、物流场景会持续数字化，但采购偏好更看重本地化、可控、可落地。</w:t>
            </w:r>
          </w:p>
        </w:tc>
        <w:tc>
          <w:tcPr>
            <w:tcW w:type="dxa" w:w="3249"/>
          </w:tcPr>
          <w:p>
            <w:r>
              <w:t>柯莱特原本就有行业 know-how 和项目实施能力，容易把“行业理解”转成解决方案收入。</w:t>
            </w:r>
          </w:p>
        </w:tc>
      </w:tr>
      <w:tr>
        <w:tc>
          <w:tcPr>
            <w:tcW w:type="dxa" w:w="3249"/>
          </w:tcPr>
          <w:p>
            <w:r>
              <w:t>上云、本地化、迁移重构项目增加</w:t>
            </w:r>
          </w:p>
        </w:tc>
        <w:tc>
          <w:tcPr>
            <w:tcW w:type="dxa" w:w="3249"/>
          </w:tcPr>
          <w:p>
            <w:r>
              <w:t>数据安全、专属部署、混合云、本地化运维要求提升。</w:t>
            </w:r>
          </w:p>
        </w:tc>
        <w:tc>
          <w:tcPr>
            <w:tcW w:type="dxa" w:w="3249"/>
          </w:tcPr>
          <w:p>
            <w:r>
              <w:t>柯莱特与金山云组合，天然更容易承接迁移、专属云、统一运维和本地部署项目。</w:t>
            </w:r>
          </w:p>
        </w:tc>
      </w:tr>
      <w:tr>
        <w:tc>
          <w:tcPr>
            <w:tcW w:type="dxa" w:w="3249"/>
          </w:tcPr>
          <w:p>
            <w:r>
              <w:t>AI 放大交付体系价值</w:t>
            </w:r>
          </w:p>
        </w:tc>
        <w:tc>
          <w:tcPr>
            <w:tcW w:type="dxa" w:w="3249"/>
          </w:tcPr>
          <w:p>
            <w:r>
              <w:t>大量文档、规则、案例、工单、脚本、测试与知识库可被 AI 利用。</w:t>
            </w:r>
          </w:p>
        </w:tc>
        <w:tc>
          <w:tcPr>
            <w:tcW w:type="dxa" w:w="3249"/>
          </w:tcPr>
          <w:p>
            <w:r>
              <w:t>柯莱特不是模型公司，但非常适合成为“AI 增强的行业解决方案与持续运营服务商”。</w:t>
            </w:r>
          </w:p>
        </w:tc>
      </w:tr>
      <w:tr>
        <w:tc>
          <w:tcPr>
            <w:tcW w:type="dxa" w:w="3249"/>
          </w:tcPr>
          <w:p>
            <w:r>
              <w:t>ITO 有机会做经营模式升级</w:t>
            </w:r>
          </w:p>
        </w:tc>
        <w:tc>
          <w:tcPr>
            <w:tcW w:type="dxa" w:w="3249"/>
          </w:tcPr>
          <w:p>
            <w:r>
              <w:t>AI 提升开发、测试、运维、支持效率。</w:t>
            </w:r>
          </w:p>
        </w:tc>
        <w:tc>
          <w:tcPr>
            <w:tcW w:type="dxa" w:w="3249"/>
          </w:tcPr>
          <w:p>
            <w:r>
              <w:t>若把 ITO 从按人天卖，升级成按结果和服务水平交付，毛利与议价能力都有机会改善。</w:t>
            </w:r>
          </w:p>
        </w:tc>
      </w:tr>
    </w:tbl>
    <w:p/>
    <w:p>
      <w:pPr>
        <w:pStyle w:val="Heading2CN"/>
      </w:pPr>
      <w:r>
        <w:rPr>
          <w:rFonts w:eastAsia="Noto Sans CJK SC"/>
        </w:rPr>
        <w:t>2.2 不利影响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CE4D6"/>
          </w:tcPr>
          <w:p>
            <w:r>
              <w:t>风险类别</w:t>
            </w:r>
          </w:p>
        </w:tc>
        <w:tc>
          <w:tcPr>
            <w:tcW w:type="dxa" w:w="3249"/>
            <w:shd w:fill="FCE4D6"/>
          </w:tcPr>
          <w:p>
            <w:r>
              <w:t>具体表现</w:t>
            </w:r>
          </w:p>
        </w:tc>
        <w:tc>
          <w:tcPr>
            <w:tcW w:type="dxa" w:w="3249"/>
            <w:shd w:fill="FCE4D6"/>
          </w:tcPr>
          <w:p>
            <w:r>
              <w:t>为什么这是压力</w:t>
            </w:r>
          </w:p>
        </w:tc>
      </w:tr>
      <w:tr>
        <w:tc>
          <w:tcPr>
            <w:tcW w:type="dxa" w:w="3249"/>
          </w:tcPr>
          <w:p>
            <w:r>
              <w:t>高 SAP 暴露业务承压</w:t>
            </w:r>
          </w:p>
        </w:tc>
        <w:tc>
          <w:tcPr>
            <w:tcW w:type="dxa" w:w="3249"/>
          </w:tcPr>
          <w:p>
            <w:r>
              <w:t>国外企业软件新建项目空间被压缩，客户中长期更偏向自主可控。</w:t>
            </w:r>
          </w:p>
        </w:tc>
        <w:tc>
          <w:tcPr>
            <w:tcW w:type="dxa" w:w="3249"/>
          </w:tcPr>
          <w:p>
            <w:r>
              <w:t>SAP 新实施与扩建项目承压；如果未来增长仍押在这条线，结构性风险会越来越大。</w:t>
            </w:r>
          </w:p>
        </w:tc>
      </w:tr>
      <w:tr>
        <w:tc>
          <w:tcPr>
            <w:tcW w:type="dxa" w:w="3249"/>
          </w:tcPr>
          <w:p>
            <w:r>
              <w:t>传统 ITO / BPO 被压价</w:t>
            </w:r>
          </w:p>
        </w:tc>
        <w:tc>
          <w:tcPr>
            <w:tcW w:type="dxa" w:w="3249"/>
          </w:tcPr>
          <w:p>
            <w:r>
              <w:t>客户会要求把 AI 带来的效率收益让渡出来。</w:t>
            </w:r>
          </w:p>
        </w:tc>
        <w:tc>
          <w:tcPr>
            <w:tcW w:type="dxa" w:w="3249"/>
          </w:tcPr>
          <w:p>
            <w:r>
              <w:t>如果仍按“派多少人、算多少人天”计价，AI 只会被客户拿来压价，而不是形成利润改善。</w:t>
            </w:r>
          </w:p>
        </w:tc>
      </w:tr>
      <w:tr>
        <w:tc>
          <w:tcPr>
            <w:tcW w:type="dxa" w:w="3249"/>
          </w:tcPr>
          <w:p>
            <w:r>
              <w:t>旧式金字塔交付组织被削弱</w:t>
            </w:r>
          </w:p>
        </w:tc>
        <w:tc>
          <w:tcPr>
            <w:tcW w:type="dxa" w:w="3249"/>
          </w:tcPr>
          <w:p>
            <w:r>
              <w:t>大量低价值协调、文档搬运、状态汇总岗位会被 AI 压缩。</w:t>
            </w:r>
          </w:p>
        </w:tc>
        <w:tc>
          <w:tcPr>
            <w:tcW w:type="dxa" w:w="3249"/>
          </w:tcPr>
          <w:p>
            <w:r>
              <w:t>若组织仍依赖层层协调和人工搬运，AI 会先削弱这些岗位的存在合理性。</w:t>
            </w:r>
          </w:p>
        </w:tc>
      </w:tr>
      <w:tr>
        <w:tc>
          <w:tcPr>
            <w:tcW w:type="dxa" w:w="3249"/>
          </w:tcPr>
          <w:p>
            <w:r>
              <w:t>治理缺陷会被 AI 放大</w:t>
            </w:r>
          </w:p>
        </w:tc>
        <w:tc>
          <w:tcPr>
            <w:tcW w:type="dxa" w:w="3249"/>
          </w:tcPr>
          <w:p>
            <w:r>
              <w:t>文档不标准、知识库混乱、权限体系不清都会影响 AI 落地。</w:t>
            </w:r>
          </w:p>
        </w:tc>
        <w:tc>
          <w:tcPr>
            <w:tcW w:type="dxa" w:w="3249"/>
          </w:tcPr>
          <w:p>
            <w:r>
              <w:t>AI 不是自动纠错器；流程和治理越差，放大后的问题越严重。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  <w:vAlign w:val="center"/>
          </w:tcPr>
          <w:p>
            <w:r>
              <w:rPr>
                <w:b/>
                <w:color w:val="806400"/>
                <w:sz w:val="22"/>
                <w:rFonts w:eastAsia="Noto Sans CJK SC"/>
              </w:rPr>
              <w:t>管理层需要特别关注的两个重点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重点一：SAP 线不是“马上消失”，但增长逻辑已经改变；更重要的是存量维护、替换迁移、双轨并行和接口重构。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重点二：ITO 线的风险和机会同时最大；如果不改经营模型，AI 会让它更容易被压价；如果改成结果交付，它反而可能成为公司最先体现 AI 经营价值的业务线。</w:t>
            </w:r>
          </w:p>
        </w:tc>
      </w:tr>
    </w:tbl>
    <w:p/>
    <w:p>
      <w:pPr>
        <w:pStyle w:val="Heading1CN"/>
      </w:pPr>
      <w:r>
        <w:rPr>
          <w:rFonts w:eastAsia="Noto Sans CJK SC"/>
        </w:rPr>
        <w:t>三、为什么 ITO 必须被提升为与 SAP 同级的重要业务线</w:t>
      </w:r>
    </w:p>
    <w:p>
      <w:pPr>
        <w:spacing w:line="331" w:lineRule="auto" w:after="120"/>
      </w:pPr>
      <w:r>
        <w:rPr>
          <w:rFonts w:eastAsia="Noto Sans CJK SC"/>
        </w:rPr>
        <w:t>之前如果把 ITO 仅理解为“技术与人员服务”，会低估它的经营意义。更准确的理解应是：ITO 是柯莱特把大量开发、测试、运维、支持能力持续组织起来、并规模化对外输出的业务模式。它不只是服务定义，更是一种收入结构、资源组织方式和经营逻辑。</w:t>
      </w:r>
    </w:p>
    <w:p>
      <w:pPr>
        <w:spacing w:line="331" w:lineRule="auto" w:after="120"/>
      </w:pPr>
      <w:r>
        <w:rPr>
          <w:rFonts w:eastAsia="Noto Sans CJK SC"/>
        </w:rPr>
        <w:t>从经营视角看，ITO 的核心不是“来了多少人”，而是“是否按客户要求把范围内结果稳定交付出来”。因此，ITO 的升级方向，不应该停留在“开发效率提高一些”，而应该升级为：从按人天供给资源，逐步转向按结果、范围和 SLA（服务水平协议）交付。</w:t>
      </w:r>
    </w:p>
    <w:p>
      <w:pPr>
        <w:pStyle w:val="Heading2CN"/>
      </w:pPr>
      <w:r>
        <w:rPr>
          <w:rFonts w:eastAsia="Noto Sans CJK SC"/>
        </w:rPr>
        <w:t>3.1 ITO 最核心的三个经营矛盾</w:t>
      </w:r>
    </w:p>
    <w:p>
      <w:pPr>
        <w:pStyle w:val="Heading3CN"/>
      </w:pPr>
      <w:r>
        <w:rPr>
          <w:rFonts w:eastAsia="Noto Sans CJK SC"/>
        </w:rPr>
        <w:t>矛盾一：规模增长与毛利稀释的矛盾</w:t>
      </w:r>
    </w:p>
    <w:p>
      <w:pPr>
        <w:spacing w:line="331" w:lineRule="auto" w:after="120"/>
      </w:pPr>
      <w:r>
        <w:rPr>
          <w:rFonts w:eastAsia="Noto Sans CJK SC"/>
        </w:rPr>
        <w:t>ITO 传统模式下，收入增长通常依赖“上更多人、投更多工时、接更多项目”。这种模式的好处是容易扩规模，但坏处是毛利率很容易被人员扩张、交付波动和管理成本稀释。AI 出现后，这个矛盾会更尖锐：客户会认为既然你能提效，就不应继续按原来的人天单价收费。</w:t>
      </w:r>
    </w:p>
    <w:p>
      <w:pPr>
        <w:pStyle w:val="Heading3CN"/>
      </w:pPr>
      <w:r>
        <w:rPr>
          <w:rFonts w:eastAsia="Noto Sans CJK SC"/>
        </w:rPr>
        <w:t>矛盾二：交付一致性与人员波动的矛盾</w:t>
      </w:r>
    </w:p>
    <w:p>
      <w:pPr>
        <w:spacing w:line="331" w:lineRule="auto" w:after="120"/>
      </w:pPr>
      <w:r>
        <w:rPr>
          <w:rFonts w:eastAsia="Noto Sans CJK SC"/>
        </w:rPr>
        <w:t>ITO 本质上依赖大量一线人员；人员水平、经验、稳定性和流动率都会直接影响交付质量。项目一旦高度依赖个人经验，质量就难标准化；一旦人员流动，交付一致性就会下降。</w:t>
      </w:r>
    </w:p>
    <w:p>
      <w:pPr>
        <w:pStyle w:val="Heading3CN"/>
      </w:pPr>
      <w:r>
        <w:rPr>
          <w:rFonts w:eastAsia="Noto Sans CJK SC"/>
        </w:rPr>
        <w:t>矛盾三：客户按人天付费与供应商希望按价值收费的矛盾</w:t>
      </w:r>
    </w:p>
    <w:p>
      <w:pPr>
        <w:spacing w:line="331" w:lineRule="auto" w:after="120"/>
      </w:pPr>
      <w:r>
        <w:rPr>
          <w:rFonts w:eastAsia="Noto Sans CJK SC"/>
        </w:rPr>
        <w:t>客户更愿意买可控的资源投入，供应商则希望体现方法论、效率和结果价值。传统 ITO 常常把供应商锁在“卖资源”的位置上，导致效率提升难以转化为更高单价与更高利润。</w:t>
      </w:r>
    </w:p>
    <w:p>
      <w:pPr>
        <w:pStyle w:val="Heading2CN"/>
      </w:pPr>
      <w:r>
        <w:rPr>
          <w:rFonts w:eastAsia="Noto Sans CJK SC"/>
        </w:rPr>
        <w:t>3.2 为什么“从人天交付到结果交付”能解决这三个矛盾</w:t>
      </w:r>
    </w:p>
    <w:p>
      <w:pPr>
        <w:spacing w:line="331" w:lineRule="auto" w:after="120"/>
      </w:pPr>
      <w:r>
        <w:rPr>
          <w:rFonts w:eastAsia="Noto Sans CJK SC"/>
        </w:rPr>
        <w:t>第一，它让收入增长不再完全等于人员增长。只要交付中心把高频工作沉淀为模板、知识、自动化与 AI 辅助能力，新增收入就不必一比一对应新增人数。</w:t>
      </w:r>
    </w:p>
    <w:p>
      <w:pPr>
        <w:spacing w:line="331" w:lineRule="auto" w:after="120"/>
      </w:pPr>
      <w:r>
        <w:t>第二，它把交付质量从“个人发挥”改成“组织能力”。一旦测试、脚本、文档、案例、工单、规则都进入专业交付中心，人员流动带来的质量波动会下降。</w:t>
      </w:r>
    </w:p>
    <w:p>
      <w:pPr>
        <w:spacing w:line="331" w:lineRule="auto" w:after="120"/>
      </w:pPr>
      <w:r>
        <w:rPr>
          <w:rFonts w:eastAsia="Noto Sans CJK SC"/>
        </w:rPr>
        <w:t>第三，它为价值定价创造条件。当交付结果可以被定义为版本按期率、缺陷率、工单闭环时效、测试覆盖率、SLA（服务水平协议）达成率时，客户购买的就不只是人，而是结果。这样 AI 带来的效率提升，才可能被公司自己留存，而不是全部被客户压价吸收。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DE9D9"/>
            <w:vAlign w:val="center"/>
          </w:tcPr>
          <w:p>
            <w:r>
              <w:rPr>
                <w:b/>
                <w:color w:val="9C0006"/>
                <w:sz w:val="22"/>
                <w:rFonts w:eastAsia="Noto Sans CJK SC"/>
              </w:rPr>
              <w:t>结论性判断：ITO 是最需要被“经营升级”的业务线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SAP 线的核心问题是“结构承压”；ITO 线的核心问题是“经营模型升级”。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如果公司只在 ITO 内部部署 AI 工具，但不改变交付和计价逻辑，AI 只会加速客户压价。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如果公司把 ITO 重构成 AI 增强交付中心 + 结果交付服务包，ITO 反而会成为最先兑现 AI 经营价值的业务线。</w:t>
            </w:r>
          </w:p>
        </w:tc>
      </w:tr>
    </w:tbl>
    <w:p/>
    <w:p>
      <w:pPr>
        <w:pStyle w:val="Heading1CN"/>
      </w:pPr>
      <w:r>
        <w:rPr>
          <w:rFonts w:eastAsia="Noto Sans CJK SC"/>
        </w:rPr>
        <w:t>四、柯莱特未来的组织关系应该如何调整</w:t>
      </w:r>
    </w:p>
    <w:p>
      <w:pPr>
        <w:spacing w:line="331" w:lineRule="auto" w:after="120"/>
      </w:pPr>
      <w:r>
        <w:t>我不建议柯莱特用“设一个 AI 部门”来代替组织重构。更合适的调整方式，是把公司设计成前台经营单元、中台治理平台、专业交付中心三层稳定组织；与此同时，在客户前端仍保留项目战队来承接具体项目。也就是说，前台负责经营结果，中台负责统一规则与底座，专业交付中心负责交付产能与专业执行，项目战队对客户结果负责。</w:t>
      </w:r>
    </w:p>
    <w:p>
      <w:pPr>
        <w:pStyle w:val="Heading2CN"/>
      </w:pPr>
      <w:r>
        <w:rPr>
          <w:b/>
        </w:rPr>
        <w:t>4.1 三层组织的详细定义与责任边界</w:t>
      </w:r>
    </w:p>
    <w:p>
      <w:pPr/>
      <w:r>
        <w:t>前台经营单元，本质上是经营责任中心。它面向客户、面向市场、面向收入和毛利，负责客户拓展、需求澄清、方案定义、项目目标承诺和续约经营。前台不是一个抽象协调层，而是一个带经营责任的业务组织，例如 SAP / 企业应用单元、ITO 单元、金融解决方案单元、制造 / 物流单元、通用数字化与上云单元。</w:t>
      </w:r>
    </w:p>
    <w:p>
      <w:pPr/>
      <w:r>
        <w:t>中台治理平台，本质上是治理与底座中心。它不直接背具体项目的经营责任，也不直接替项目做主要交付，而是统一管理知识库、AI 能力接入、权限与安全、评测体系、模板规范、质量规则、方法论和日志留痕。中台更像全公司的规则和基础设施平台，目的是让不同业务线和交付团队用同一套底座工作，而不是各自造轮子。</w:t>
      </w:r>
    </w:p>
    <w:p>
      <w:pPr/>
      <w:r>
        <w:t>专业交付中心，本质上是交付产能与专业执行中心。它不是简单的人力资源池，也不是谁有空谁就上的临时调配池，而是由若干常驻领域交付团队和专业能力线构成的交付体系。它负责提供开发、测试、运维、云集成、实施、自动化等规模化交付能力，把中台定义好的标准、工具和方法真正落到项目里。</w:t>
      </w:r>
    </w:p>
    <w:p>
      <w:pPr/>
      <w:r>
        <w:t>这里最容易引起误解的地方是：如果公司被划分为前台经营单元、中台治理平台和专业交付中心，那么具体项目是不是就不再由项目组承接了。答案是否定的。未来仍然会有单独项目组，而且项目组仍然是直接面对客户、对交付结果负责的主体；变化只在于，项目组不再是一个封闭、自给自足的小王国，而是由前台经营单元牵头、以常驻领域交付团队为主体，并从专业交付中心和中台治理平台获得能力支持后形成的“项目战队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 w:before="40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b/>
                <w:sz w:val="19"/>
              </w:rPr>
              <w:t>核心定位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b/>
                <w:sz w:val="19"/>
              </w:rPr>
              <w:t>主要负责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b/>
                <w:sz w:val="19"/>
              </w:rPr>
              <w:t>不直接负责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前台经营单元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经营责任中心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客户、收入、毛利、方案、项目目标、续约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不建设全公司的规则底座和全部交付产能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中台治理平台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治理与底座中心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知识、AI、权限、评测、模板、规则、方法论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不直接背单个项目的经营结果和主要交付结果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专业交付中心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交付产能中心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开发、测试、运维、云集成、实施、自动化等专业交付能力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sz w:val="19"/>
              </w:rPr>
              <w:t>不直接背前台的市场经营责任</w:t>
            </w:r>
          </w:p>
        </w:tc>
      </w:tr>
    </w:tbl>
    <w:p>
      <w:pPr/>
      <w:r>
        <w:t>换句话说，未来更合理的承接方式不是“平台直接接项目”，也不是“每个业务线都自己养齐一整套班子”，而是“前台拿项目、专业交付中心供产能和专业能力、中台提供规则与底座、项目战队具体承接”。这样设计的原因很现实：客户需要一个明确负责人和完整交付团队，但公司内部又不能让每个项目重复建设开发、测试、运维、知识管理和质量控制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D3"/>
          </w:tcPr>
          <w:p>
            <w:r>
              <w:t>组织层次</w:t>
            </w:r>
          </w:p>
        </w:tc>
        <w:tc>
          <w:tcPr>
            <w:tcW w:type="dxa" w:w="3249"/>
            <w:shd w:fill="D9EAD3"/>
          </w:tcPr>
          <w:p>
            <w:r>
              <w:t>建议设置</w:t>
            </w:r>
          </w:p>
        </w:tc>
        <w:tc>
          <w:tcPr>
            <w:tcW w:type="dxa" w:w="3249"/>
            <w:shd w:fill="D9EAD3"/>
          </w:tcPr>
          <w:p>
            <w:r>
              <w:t>为什么这样更合适</w:t>
            </w:r>
          </w:p>
        </w:tc>
      </w:tr>
      <w:tr>
        <w:tc>
          <w:tcPr>
            <w:tcW w:type="dxa" w:w="3249"/>
          </w:tcPr>
          <w:p>
            <w:r>
              <w:t>前台经营单元</w:t>
            </w:r>
          </w:p>
        </w:tc>
        <w:tc>
          <w:tcPr>
            <w:tcW w:type="dxa" w:w="3249"/>
          </w:tcPr>
          <w:p>
            <w:r>
              <w:t>SAP/替换迁移、ITO、金融、制造/物流、通用数字化与上云等业务单元</w:t>
            </w:r>
          </w:p>
        </w:tc>
        <w:tc>
          <w:tcPr>
            <w:tcW w:type="dxa" w:w="3249"/>
          </w:tcPr>
          <w:p>
            <w:r>
              <w:t>客户买的是业务结果，不是纯职能；前台要对行业方案、客户关系和经营结果负责。</w:t>
            </w:r>
          </w:p>
        </w:tc>
      </w:tr>
      <w:tr>
        <w:tc>
          <w:tcPr>
            <w:tcW w:type="dxa" w:w="3249"/>
          </w:tcPr>
          <w:p>
            <w:r>
              <w:t>中台治理平台</w:t>
            </w:r>
          </w:p>
        </w:tc>
        <w:tc>
          <w:tcPr>
            <w:tcW w:type="dxa" w:w="3249"/>
          </w:tcPr>
          <w:p>
            <w:r>
              <w:t>小而强的 AI 转型办公室 / 数字化治理中枢</w:t>
            </w:r>
          </w:p>
        </w:tc>
        <w:tc>
          <w:tcPr>
            <w:tcW w:type="dxa" w:w="3249"/>
          </w:tcPr>
          <w:p>
            <w:r>
              <w:t>统一数据、权限、模型接入、评测、日志、试点复制方法，避免各业务线各自为战。</w:t>
            </w:r>
          </w:p>
        </w:tc>
      </w:tr>
      <w:tr>
        <w:tc>
          <w:tcPr>
            <w:tcW w:type="dxa" w:w="3249"/>
          </w:tcPr>
          <w:p>
            <w:r>
              <w:t>专业交付中心</w:t>
            </w:r>
          </w:p>
        </w:tc>
        <w:tc>
          <w:tcPr>
            <w:tcW w:type="dxa" w:w="3249"/>
          </w:tcPr>
          <w:p>
            <w:r>
              <w:t>统一代码、测试、知识、工单、质量和模板化能力</w:t>
            </w:r>
          </w:p>
        </w:tc>
        <w:tc>
          <w:tcPr>
            <w:tcW w:type="dxa" w:w="3249"/>
          </w:tcPr>
          <w:p>
            <w:r>
              <w:t>把重复交付动作从项目临时拼装，升级成稳定的组织能力，形成交付工业化。</w:t>
            </w:r>
          </w:p>
        </w:tc>
      </w:tr>
    </w:tbl>
    <w:p>
      <w:r>
        <w:t>从具体流程看，一个项目通常会这样落地。第一步，由前台经营单元完成客户拓展、需求澄清、方案定义和商务推进，例如 SAP/替换迁移单元、ITO 单元、金融解决方案单元或制造/物流单元先拿到项目机会。第二步，项目立项后，由业务单元指定项目负责人和交付负责人，并依据项目范围向专业交付中心申请开发、测试、运维、集成等产能，同时向中台治理平台获取方法、模板、权限、评测、知识库和规则支持。第三步，真正对客户负责的仍然是项目战队，它把这些资源组织起来，围绕客户目标形成一个完整交付单元。</w:t>
      </w:r>
    </w:p>
    <w:p>
      <w:pPr>
        <w:pStyle w:val="Heading2CN"/>
      </w:pPr>
      <w:r>
        <w:t>因此，未来的项目组并不会消失，而是会从“一个项目一个小公司”变成“一个面向客户结果负责的战队 + 背后专业交付中心的能力供给 + 中台治理平台的规则支撑”。这种变化的好处在于：第一，客户责任更清楚，项目不会因为平台化而失去一号位；第二，能力更容易复用，同样的测试模板、知识库、工单规则和 AI 工具不必在不同项目里重复造轮子；第三，组织更有弹性，项目结束后资源可以回到专业能力线，不必长期固化在单个项目里。</w:t>
      </w:r>
    </w:p>
    <w:p>
      <w:pPr>
        <w:spacing w:line="331" w:lineRule="auto" w:after="120"/>
      </w:pPr>
      <w:r>
        <w:t>这也意味着项目可以按性质分成三种主要承接形态。方案型项目，如金融解决方案、制造解决方案，更适合由前台经营单元主导，因为行业 know-how 和方案设计是成败关键；交付型项目，如 SAP 实施、系统迁移、ITO 项目，更适合由前台经营单元和专业交付中心联合主导，因为交付工业化能力更重要；运营型项目，如长期运维、托管服务和部分 BPO，则更适合形成稳定运营小组，但客户关系和经营责任仍应保留在前台经营单元。</w:t>
      </w:r>
    </w:p>
    <w:p>
      <w:pPr>
        <w:pStyle w:val="Heading2CN"/>
      </w:pPr>
      <w:r>
        <w:t>如果把话说得更直白一些，未来柯莱特最合适的组织形态不是“取消项目组”，而是“平台化重构项目组”。项目组还在，但不再靠临时拼凑和个人英雄主义运转，而是通过前台经营单元定义客户结果、通过中台治理平台统一规则、通过专业交付中心输出产能与专业能力、通过项目战队完成交付。对柯莱特这样的重交付公司来说，这种方式既能保住客户响应和项目控制力，又能把 AI、知识、质量和方法论真正沉淀成组织能力。</w:t>
      </w:r>
    </w:p>
    <w:p>
      <w:pPr/>
      <w:r>
        <w:t>这里最容易引起误解的地方是：如果公司被划分为前台经营单元、中台治理平台和专业交付中心，那么具体项目是不是就不再由项目组承接了。答案是否定的。未来仍然会有单独项目组，而且项目组仍然是直接面对客户、对交付结果负责的主体；变化只在于，项目组不再是一个封闭、自给自足的小王国，而是由前台经营单元牵头、从专业平台抽取能力形成的“项目战队”。</w:t>
      </w:r>
    </w:p>
    <w:p>
      <w:pPr/>
      <w:r>
        <w:t>换句话说，未来更合理的承接方式不是“平台直接接项目”，也不是“每个业务线都自己养齐一整套班子”，而是“前台拿项目、平台供能力、项目战队具体承接”。这样设计的原因很现实：客户需要一个明确负责人和完整交付团队，但公司内部又不能让每个项目重复建设开发、测试、运维、知识管理和质量控制能力。</w:t>
      </w:r>
    </w:p>
    <w:p>
      <w:pPr/>
      <w:r>
        <w:t>从具体流程看，一个项目通常会这样落地。第一步，由前台经营单元完成客户拓展、需求澄清、方案定义和商务推进，例如 SAP/替换迁移单元、ITO 单元、金融解决方案单元或制造/物流单元先拿到项目机会。第二步，项目立项后，由业务单元指定项目负责人和交付负责人，并依据项目范围向专业交付中心申请资源。第三步，专业交付中心提供开发、测试、运维、云集成、安全、质量、AI 工具和知识能力；中台治理平台提供方法、模板、权限、评测、知识库和规则支持。第四步，真正对客户负责的仍然是项目战队，它把这些资源组织起来，围绕客户目标形成一个完整交付单元。</w:t>
      </w:r>
    </w:p>
    <w:p>
      <w:pPr/>
      <w:r>
        <w:t>因此，未来的项目组并不会消失，而是会从“一个项目一个小公司”变成“一个面向客户结果负责的战队 + 背后多个平台的能力供给”。这种变化的好处在于：第一，客户责任更清楚，项目不会因为平台化而失去一号位；第二，能力更容易复用，同样的测试模板、知识库、工单规则和 AI 工具不必在不同项目里重复造轮子；第三，组织更有弹性，项目结束后资源可以回到平台，不必长期固化在单个项目里。</w:t>
      </w:r>
    </w:p>
    <w:p>
      <w:pPr/>
      <w:r>
        <w:t>这也意味着项目可以按性质分成三种主要承接形态。方案型项目，如金融解决方案、制造解决方案，更适合由业务单元主导，因为行业 know-how 和方案设计是成败关键；交付型项目，如 SAP 实施、系统迁移、ITO 项目，更适合由业务单元和专业交付中心联合主导，因为交付工业化能力更重要；运营型项目，如长期运维、托管服务和部分 BPO，则更适合形成稳定运营小组，但客户关系和经营责任仍应保留在业务单元。</w:t>
      </w:r>
    </w:p>
    <w:p>
      <w:pPr/>
      <w:r>
        <w:t>如果把话说得更直白一些，未来柯莱特最合适的组织形态不是“取消项目组”，而是“平台化重构项目组”。项目组还在，但不再靠临时拼凑和个人英雄主义运转，而是通过前台经营单元定义客户结果、通过专业平台提供标准化能力、通过项目战队完成交付。对柯莱特这样的重交付公司来说，这种方式既能保住客户响应和项目控制力，又能把 AI、知识、质量和方法论真正沉淀成组织能力。</w:t>
      </w:r>
    </w:p>
    <w:p>
      <w:pPr>
        <w:pStyle w:val="Heading2CN"/>
      </w:pPr>
      <w:r>
        <w:t>4.4 中层角色应如何重定义</w:t>
      </w:r>
    </w:p>
    <w:p>
      <w:pPr>
        <w:spacing w:line="331" w:lineRule="auto" w:after="120"/>
      </w:pPr>
      <w:r>
        <w:rPr>
          <w:rFonts w:eastAsia="Noto Sans CJK SC"/>
        </w:rPr>
        <w:t>未来最该保留并强化的中层，不是做汇总、催办和材料搬运的人，而是能把模糊客户需求翻译成可执行方案、能定义规则和验收标准、能把经验沉淀成组织能力的人。</w:t>
      </w:r>
    </w:p>
    <w:p>
      <w:pPr>
        <w:spacing w:line="331" w:lineRule="auto" w:after="120"/>
      </w:pPr>
      <w:r>
        <w:rPr>
          <w:rFonts w:eastAsia="Noto Sans CJK SC"/>
        </w:rPr>
        <w:t>换句话说，中层要从“协调者”转成“经营者、产品经理和交付设计者”。这对柯莱特尤为重要，因为它本质上是一家项目型、交付型公司。</w:t>
      </w:r>
    </w:p>
    <w:p>
      <w:pPr>
        <w:pStyle w:val="Heading1CN"/>
      </w:pPr>
      <w:r>
        <w:rPr>
          <w:rFonts w:eastAsia="Noto Sans CJK SC"/>
        </w:rPr>
        <w:t>五、绩效关系应该如何调整</w:t>
      </w:r>
    </w:p>
    <w:p>
      <w:pPr>
        <w:spacing w:line="331" w:lineRule="auto" w:after="120"/>
      </w:pPr>
      <w:r>
        <w:rPr>
          <w:rFonts w:eastAsia="Noto Sans CJK SC"/>
        </w:rPr>
        <w:t>如果绩效还主要奖励“加班、忙碌、工时、人数、项目数量”，那么 AI 转型大概率会失败。因为这套考核会天然惩罚自动化和复用，鼓励低价值劳动量。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4DFEC"/>
          </w:tcPr>
          <w:p>
            <w:r>
              <w:t>考核对象</w:t>
            </w:r>
          </w:p>
        </w:tc>
        <w:tc>
          <w:tcPr>
            <w:tcW w:type="dxa" w:w="3249"/>
            <w:shd w:fill="E4DFEC"/>
          </w:tcPr>
          <w:p>
            <w:r>
              <w:t>旧逻辑</w:t>
            </w:r>
          </w:p>
        </w:tc>
        <w:tc>
          <w:tcPr>
            <w:tcW w:type="dxa" w:w="3249"/>
            <w:shd w:fill="E4DFEC"/>
          </w:tcPr>
          <w:p>
            <w:r>
              <w:t>建议调整为</w:t>
            </w:r>
          </w:p>
        </w:tc>
      </w:tr>
      <w:tr>
        <w:tc>
          <w:tcPr>
            <w:tcW w:type="dxa" w:w="3249"/>
          </w:tcPr>
          <w:p>
            <w:r>
              <w:t>个人绩效</w:t>
            </w:r>
          </w:p>
        </w:tc>
        <w:tc>
          <w:tcPr>
            <w:tcW w:type="dxa" w:w="3249"/>
          </w:tcPr>
          <w:p>
            <w:r>
              <w:t>看忙不忙、工时多不多、任务做没做完</w:t>
            </w:r>
          </w:p>
        </w:tc>
        <w:tc>
          <w:tcPr>
            <w:tcW w:type="dxa" w:w="3249"/>
          </w:tcPr>
          <w:p>
            <w:r>
              <w:t>看结果、杠杆、复用、客户价值、问题定义与沉淀能力</w:t>
            </w:r>
          </w:p>
        </w:tc>
      </w:tr>
      <w:tr>
        <w:tc>
          <w:tcPr>
            <w:tcW w:type="dxa" w:w="3249"/>
          </w:tcPr>
          <w:p>
            <w:r>
              <w:t>前台经营单元</w:t>
            </w:r>
          </w:p>
        </w:tc>
        <w:tc>
          <w:tcPr>
            <w:tcW w:type="dxa" w:w="3249"/>
          </w:tcPr>
          <w:p>
            <w:r>
              <w:t>只看收入和新签</w:t>
            </w:r>
          </w:p>
        </w:tc>
        <w:tc>
          <w:tcPr>
            <w:tcW w:type="dxa" w:w="3249"/>
          </w:tcPr>
          <w:p>
            <w:r>
              <w:t>看收入 + AI 组件挂载率 + 续约 + 客户满意度 + 本地化/替换项目占比</w:t>
            </w:r>
          </w:p>
        </w:tc>
      </w:tr>
      <w:tr>
        <w:tc>
          <w:tcPr>
            <w:tcW w:type="dxa" w:w="3249"/>
          </w:tcPr>
          <w:p>
            <w:r>
              <w:t>专业交付中心</w:t>
            </w:r>
          </w:p>
        </w:tc>
        <w:tc>
          <w:tcPr>
            <w:tcW w:type="dxa" w:w="3249"/>
          </w:tcPr>
          <w:p>
            <w:r>
              <w:t>只看资源利用率、工时饱和度</w:t>
            </w:r>
          </w:p>
        </w:tc>
        <w:tc>
          <w:tcPr>
            <w:tcW w:type="dxa" w:w="3249"/>
          </w:tcPr>
          <w:p>
            <w:r>
              <w:t>看人均产出、缺陷率、返工率、按期率、知识复用率、自动化覆盖率</w:t>
            </w:r>
          </w:p>
        </w:tc>
      </w:tr>
      <w:tr>
        <w:tc>
          <w:tcPr>
            <w:tcW w:type="dxa" w:w="3249"/>
          </w:tcPr>
          <w:p>
            <w:r>
              <w:t>ITO / 运维类服务</w:t>
            </w:r>
          </w:p>
        </w:tc>
        <w:tc>
          <w:tcPr>
            <w:tcW w:type="dxa" w:w="3249"/>
          </w:tcPr>
          <w:p>
            <w:r>
              <w:t>看上了多少人、交了多少工时</w:t>
            </w:r>
          </w:p>
        </w:tc>
        <w:tc>
          <w:tcPr>
            <w:tcW w:type="dxa" w:w="3249"/>
          </w:tcPr>
          <w:p>
            <w:r>
              <w:t>看版本按期率、工单闭环时效、测试覆盖率、SLA（服务水平协议）达成率、单位交付产出</w:t>
            </w:r>
          </w:p>
        </w:tc>
      </w:tr>
    </w:tbl>
    <w:p/>
    <w:p>
      <w:pPr>
        <w:pStyle w:val="Heading2CN"/>
      </w:pPr>
      <w:r>
        <w:t>2. 前台按业务结果重组：至少形成 SAP/替换迁移、ITO、金融、制造/物流、通用数字化与上云五类前台经营单元。</w:t>
      </w:r>
    </w:p>
    <w:p>
      <w:pPr>
        <w:spacing w:line="331" w:lineRule="auto" w:after="120"/>
      </w:pPr>
      <w:r>
        <w:t>3. 建立专业交付中心，统一组织开发、测试、运维、云集成、实施、自动化等交付产能与专业能力。</w:t>
      </w:r>
    </w:p>
    <w:p>
      <w:pPr>
        <w:spacing w:line="331" w:lineRule="auto" w:after="120"/>
      </w:pPr>
      <w:r>
        <w:t>4. 建立小而强的中台治理平台，统一权限、模型接入、评测、知识库、日志留痕与试点复制机制。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r>
              <w:rPr>
                <w:b/>
                <w:color w:val="1F4E79"/>
                <w:sz w:val="22"/>
                <w:rFonts w:eastAsia="Noto Sans CJK SC"/>
              </w:rPr>
              <w:t>最该被突出追踪的四类指标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结构指标：高 SAP 暴露业务占比是否下降，ITO 结果交付收入占比是否上升。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效率指标：人均产出、项目周期、工单时效、返工率是否持续改善。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质量指标：缺陷率、版本按期率、SLA（服务水平协议）达成率、客户满意度是否稳定。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转型指标：AI 组件挂载率、知识复用率、自动化覆盖率、持续服务收入占比是否提升。</w:t>
            </w:r>
          </w:p>
        </w:tc>
      </w:tr>
    </w:tbl>
    <w:p/>
    <w:p>
      <w:pPr>
        <w:pStyle w:val="Heading1CN"/>
      </w:pPr>
      <w:r>
        <w:t>6. 明确保留项目组，但将其升级为“平台化项目战队”：前台经营单元负责客户与经营，中台治理平台负责规则与底座，专业交付中心负责能力供给，项目战队对客户结果负责。</w:t>
      </w:r>
    </w:p>
    <w:p>
      <w:pPr>
        <w:spacing w:line="331" w:lineRule="auto" w:after="120"/>
      </w:pPr>
      <w:r>
        <w:rPr>
          <w:rFonts w:eastAsia="Noto Sans CJK SC"/>
        </w:rPr>
        <w:t>1. 把 ITO 明确提升为与 SAP 同级的重要业务线，不再把它仅作为配套资源池看待。</w:t>
      </w:r>
    </w:p>
    <w:p>
      <w:pPr>
        <w:spacing w:line="331" w:lineRule="auto" w:after="120"/>
      </w:pPr>
      <w:r>
        <w:rPr>
          <w:rFonts w:eastAsia="Noto Sans CJK SC"/>
        </w:rPr>
        <w:t>2. 前台按业务结果重组：至少形成 SAP/替换迁移、ITO、金融、制造/物流、通用数字化与上云五类业务单元。</w:t>
      </w:r>
    </w:p>
    <w:p>
      <w:pPr>
        <w:spacing w:line="331" w:lineRule="auto" w:after="120"/>
      </w:pPr>
      <w:r>
        <w:rPr>
          <w:rFonts w:eastAsia="Noto Sans CJK SC"/>
        </w:rPr>
        <w:t>3. 建立专业交付中心，统一管理代码、测试、工单、知识、质量和模板化能力。</w:t>
      </w:r>
    </w:p>
    <w:p>
      <w:pPr>
        <w:spacing w:line="331" w:lineRule="auto" w:after="120"/>
      </w:pPr>
      <w:r>
        <w:rPr>
          <w:rFonts w:eastAsia="Noto Sans CJK SC"/>
        </w:rPr>
        <w:t>4. 建立小而强的 AI 治理与赋能中台，统一权限、模型接入、评测、日志留痕与试点复制机制。</w:t>
      </w:r>
    </w:p>
    <w:p>
      <w:pPr>
        <w:spacing w:line="331" w:lineRule="auto" w:after="120"/>
      </w:pPr>
      <w:r>
        <w:rPr>
          <w:rFonts w:eastAsia="Noto Sans CJK SC"/>
        </w:rPr>
        <w:t>5. 把绩效主轴从“劳动量、人数、工时”切换为“结果、杠杆、复用、毛利、续约、质量”。</w:t>
      </w:r>
    </w:p>
    <w:p>
      <w:pPr/>
      <w:r>
        <w:t>6. 明确保留项目组，但将其升级为“平台化项目战队”：前台经营单元负责客户与经营，平台负责能力供给，项目战队对客户结果负责。</w:t>
      </w:r>
    </w:p>
    <w:p>
      <w:pPr>
        <w:pStyle w:val="Heading1CN"/>
      </w:pPr>
      <w:r>
        <w:rPr>
          <w:rFonts w:eastAsia="Noto Sans CJK SC"/>
        </w:rPr>
        <w:t>七、最后的结论</w:t>
      </w:r>
    </w:p>
    <w:p>
      <w:pPr>
        <w:spacing w:line="331" w:lineRule="auto" w:after="120"/>
      </w:pPr>
      <w:r>
        <w:rPr>
          <w:rFonts w:eastAsia="Noto Sans CJK SC"/>
        </w:rPr>
        <w:t>如果把话说得最直白一些：AI 和政策正在逼着柯莱特从“传统 IT 服务公司”，升级为“更行业化、更本地化、更结果导向的解决方案与持续服务公司”。</w:t>
      </w:r>
    </w:p>
    <w:p>
      <w:pPr>
        <w:spacing w:line="331" w:lineRule="auto" w:after="120"/>
      </w:pPr>
      <w:r>
        <w:rPr>
          <w:rFonts w:eastAsia="Noto Sans CJK SC"/>
        </w:rPr>
        <w:t>对它来说，最值得保的不是旧式金字塔组织和单一软件生态依赖，而是行业 know-how、交付体系、客户入口以及把这些能力工业化、产品化、结果化的能力。</w:t>
      </w:r>
    </w:p>
    <w:p>
      <w:pPr>
        <w:spacing w:line="331" w:lineRule="auto" w:after="120"/>
      </w:pPr>
      <w:r>
        <w:rPr>
          <w:rFonts w:eastAsia="Noto Sans CJK SC"/>
        </w:rPr>
        <w:t>其中，SAP 线最该关注的是结构承压；ITO 线最该关注的是经营升级；金融、制造、上云与本地化，则更可能成为未来几年最有韧性的增长方向。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  <w:vAlign w:val="center"/>
          </w:tcPr>
          <w:p>
            <w:r>
              <w:rPr>
                <w:b/>
                <w:color w:val="806400"/>
                <w:sz w:val="22"/>
                <w:rFonts w:eastAsia="Noto Sans CJK SC"/>
              </w:rPr>
              <w:t>一句话总结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SAP 线要守现金流、做迁移重构；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ITO 线要从卖人变成卖结果；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金融、制造、上云线要成为新的增长主线；</w:t>
            </w:r>
          </w:p>
          <w:p>
            <w:pPr>
              <w:spacing w:after="40"/>
              <w:ind w:left="198"/>
            </w:pPr>
            <w:r>
              <w:rPr>
                <w:sz w:val="20"/>
                <w:rFonts w:eastAsia="Noto Sans CJK SC"/>
              </w:rPr>
              <w:t>• 组织和绩效必须同步重构，否则 AI 只会停留在工具层。</w:t>
            </w:r>
          </w:p>
        </w:tc>
      </w:tr>
    </w:tbl>
    <w:p/>
    <w:p>
      <w:pPr>
        <w:pStyle w:val="Heading1CN"/>
      </w:pPr>
      <w:r>
        <w:rPr>
          <w:rFonts w:eastAsia="Noto Sans CJK SC"/>
        </w:rPr>
        <w:t>附：本文所依据的核心材料</w:t>
      </w:r>
    </w:p>
    <w:p>
      <w:pPr>
        <w:spacing w:line="331" w:lineRule="auto" w:after="120"/>
      </w:pPr>
      <w:r>
        <w:rPr>
          <w:rFonts w:eastAsia="Noto Sans CJK SC"/>
        </w:rPr>
        <w:t>• 《柯莱特公司现状与业务结构调研报告 V4》</w:t>
      </w:r>
    </w:p>
    <w:p>
      <w:pPr>
        <w:spacing w:line="331" w:lineRule="auto" w:after="120"/>
      </w:pPr>
      <w:r>
        <w:rPr>
          <w:rFonts w:eastAsia="Noto Sans CJK SC"/>
        </w:rPr>
        <w:t>• 《柯莱特在中国未来业务发展分析报告》</w:t>
      </w:r>
    </w:p>
    <w:p>
      <w:pPr>
        <w:spacing w:line="331" w:lineRule="auto" w:after="120"/>
      </w:pPr>
      <w:r>
        <w:rPr>
          <w:rFonts w:eastAsia="Noto Sans CJK SC"/>
        </w:rPr>
        <w:t>• 《AI 能力边界》</w:t>
      </w:r>
    </w:p>
    <w:p>
      <w:pPr>
        <w:spacing w:line="331" w:lineRule="auto" w:after="120"/>
      </w:pPr>
      <w:r>
        <w:rPr>
          <w:rFonts w:eastAsia="Noto Sans CJK SC"/>
        </w:rPr>
        <w:t>• 《AI 转型策略_v9》</w:t>
      </w:r>
    </w:p>
    <w:p>
      <w:pPr>
        <w:spacing w:line="331" w:lineRule="auto" w:after="120"/>
      </w:pPr>
      <w:r>
        <w:rPr>
          <w:rFonts w:eastAsia="Noto Sans CJK SC"/>
        </w:rPr>
        <w:t>• 国家金融监管、制造业数字化、数据安全等公开政策文件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pPr>
      <w:spacing w:before="0" w:after="120"/>
    </w:pPr>
    <w:rPr>
      <w:rFonts w:ascii="Arial" w:hAnsi="Arial" w:eastAsia="Noto Sans CJK SC"/>
      <w:b/>
      <w:color w:val="1F4E79"/>
      <w:sz w:val="40"/>
    </w:rPr>
  </w:style>
  <w:style w:type="paragraph" w:customStyle="1" w:styleId="SubTitleCN">
    <w:name w:val="SubTitleCN"/>
    <w:pPr>
      <w:spacing w:before="0" w:after="240"/>
    </w:pPr>
    <w:rPr>
      <w:rFonts w:ascii="Arial" w:hAnsi="Arial" w:eastAsia="Noto Sans CJK SC"/>
      <w:b w:val="0"/>
      <w:color w:val="5F5F5F"/>
      <w:sz w:val="22"/>
    </w:rPr>
  </w:style>
  <w:style w:type="paragraph" w:customStyle="1" w:styleId="Heading1CN">
    <w:name w:val="Heading1CN"/>
    <w:pPr>
      <w:spacing w:before="200" w:after="80"/>
    </w:pPr>
    <w:rPr>
      <w:rFonts w:ascii="Arial" w:hAnsi="Arial" w:eastAsia="Noto Sans CJK SC"/>
      <w:b/>
      <w:color w:val="1F4E79"/>
      <w:sz w:val="28"/>
    </w:rPr>
  </w:style>
  <w:style w:type="paragraph" w:customStyle="1" w:styleId="Heading2CN">
    <w:name w:val="Heading2CN"/>
    <w:pPr>
      <w:spacing w:before="160" w:after="60"/>
    </w:pPr>
    <w:rPr>
      <w:rFonts w:ascii="Arial" w:hAnsi="Arial" w:eastAsia="Noto Sans CJK SC"/>
      <w:b/>
      <w:color w:val="2F5496"/>
      <w:sz w:val="24"/>
    </w:rPr>
  </w:style>
  <w:style w:type="paragraph" w:customStyle="1" w:styleId="Heading3CN">
    <w:name w:val="Heading3CN"/>
    <w:pPr>
      <w:spacing w:before="120" w:after="40"/>
    </w:pPr>
    <w:rPr>
      <w:rFonts w:ascii="Arial" w:hAnsi="Arial" w:eastAsia="Noto Sans CJK SC"/>
      <w:b/>
      <w:color w:val="4F622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