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154B" w14:textId="7A12323C" w:rsidR="00FC72B3" w:rsidRPr="0097309C" w:rsidRDefault="00D0579C" w:rsidP="0097309C">
      <w:pPr>
        <w:spacing w:line="360" w:lineRule="auto"/>
        <w:jc w:val="center"/>
        <w:rPr>
          <w:rFonts w:ascii="Times New Roman" w:eastAsia="方正小标宋简体" w:hAnsi="Times New Roman" w:cs="Times New Roman"/>
          <w:w w:val="88"/>
          <w:sz w:val="72"/>
          <w:szCs w:val="72"/>
        </w:rPr>
      </w:pPr>
      <w:r>
        <w:rPr>
          <w:rFonts w:ascii="Times New Roman" w:eastAsia="方正小标宋简体" w:hAnsi="Times New Roman" w:cs="Times New Roman" w:hint="eastAsia"/>
          <w:w w:val="88"/>
          <w:sz w:val="72"/>
          <w:szCs w:val="72"/>
        </w:rPr>
        <w:t>2019</w:t>
      </w:r>
      <w:proofErr w:type="spellStart"/>
      <w:proofErr w:type="spellEnd"/>
      <w:r w:rsidR="00FC72B3" w:rsidRPr="00C7480B">
        <w:rPr>
          <w:rFonts w:ascii="Times New Roman" w:eastAsia="宋体" w:hAnsi="Times New Roman" w:cs="Times New Roman"/>
          <w:w w:val="88"/>
          <w:sz w:val="72"/>
          <w:szCs w:val="72"/>
        </w:rPr>
        <w:t>年浙江省</w:t>
      </w:r>
      <w:r w:rsidR="00764E81">
        <w:rPr>
          <w:rFonts w:ascii="Times New Roman" w:eastAsia="宋体" w:hAnsi="Times New Roman" w:cs="Times New Roman"/>
          <w:w w:val="88"/>
          <w:sz w:val="72"/>
          <w:szCs w:val="72"/>
        </w:rPr>
        <w:t>xx食品</w:t>
      </w:r>
      <w:proofErr w:type="spellStart"/>
      <w:proofErr w:type="spellEnd"/>
      <w:r w:rsidR="00FC72B3" w:rsidRPr="00C7480B">
        <w:rPr>
          <w:rFonts w:ascii="Times New Roman" w:eastAsia="宋体" w:hAnsi="Times New Roman" w:cs="Times New Roman"/>
          <w:w w:val="88"/>
          <w:sz w:val="72"/>
          <w:szCs w:val="72"/>
        </w:rPr>
        <w:t>抽检监测分析报告</w:t>
      </w:r>
    </w:p>
    <w:p w14:paraId="74B787E6" w14:textId="3FE57EF0" w:rsidR="00FC72B3" w:rsidRDefault="00FC72B3" w:rsidP="00FC72B3">
      <w:pPr>
        <w:spacing w:line="360" w:lineRule="auto"/>
        <w:jc w:val="center"/>
        <w:rPr>
          <w:rFonts w:ascii="Times New Roman" w:eastAsia="宋体" w:hAnsi="Times New Roman" w:cs="Times New Roman"/>
          <w:w w:val="88"/>
          <w:sz w:val="72"/>
          <w:szCs w:val="72"/>
        </w:rPr>
      </w:pPr>
    </w:p>
    <w:p w14:paraId="534858C5" w14:textId="4859578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主编单位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浙江省市场监督管理局</w:t>
      </w:r>
      <w:proofErr w:type="spellStart"/>
      <w:proofErr w:type="spellEnd"/>
    </w:p>
    <w:p w14:paraId="19825F0D" w14:textId="2727A4C3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共同编制单位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浙江省市场监督管理局,北京林业大学</w:t>
      </w:r>
      <w:proofErr w:type="spellStart"/>
      <w:proofErr w:type="spellEnd"/>
    </w:p>
    <w:p w14:paraId="2AC0279D" w14:textId="15609D9F" w:rsidR="00764E81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主编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XXX</w:t>
      </w:r>
    </w:p>
    <w:p w14:paraId="3718C6C5" w14:textId="229C6C2C" w:rsidR="00764E81" w:rsidRPr="00E76178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编委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xxx,yyy</w:t>
      </w:r>
    </w:p>
    <w:p w14:paraId="018A70DF" w14:textId="77777777" w:rsidR="00764E81" w:rsidRPr="00E76178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67724767" w14:textId="77777777" w:rsidR="00764E81" w:rsidRDefault="00764E81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22EF0C36" w14:textId="47B43B06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684932FD" w14:textId="5B35FDA2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41501501" w14:textId="3842A972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706B4B56" w14:textId="5F3602A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361177FF" w14:textId="5735409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30FC8BBF" w14:textId="6389E784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22490843" w14:textId="77777777" w:rsidR="00FC72B3" w:rsidRPr="00E76178" w:rsidRDefault="00FC72B3" w:rsidP="00764E81">
      <w:pPr>
        <w:spacing w:line="360" w:lineRule="auto"/>
        <w:jc w:val="left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1E858FA6" w14:textId="6D56750F" w:rsidR="00792CFB" w:rsidRDefault="007544DF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  <w:r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  <w:t>2020年-12月</w:t>
      </w:r>
      <w:proofErr w:type="spellStart"/>
      <w:proofErr w:type="spellEnd"/>
    </w:p>
    <w:p w14:paraId="28D5A468" w14:textId="2710E93F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ED0E9F5" w14:textId="3FAC2E33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B753E55" w14:textId="6BE51A9E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F3B1423" w14:textId="28805C8E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5F6B8542" w14:textId="6CA94C7F" w:rsidR="00621DE5" w:rsidRDefault="00621DE5" w:rsidP="00764E81">
      <w:pPr>
        <w:jc w:val="center"/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</w:pPr>
      <w:r w:rsidRPr="00621DE5">
        <w:rPr>
          <w:rFonts w:ascii="Times New Roman" w:eastAsia="方正小标宋简体" w:hAnsi="Times New Roman" w:cs="Times New Roman" w:hint="eastAsia"/>
          <w:sz w:val="44"/>
          <w:szCs w:val="44"/>
          <w:lang w:val="x-none" w:eastAsia="x-none"/>
        </w:rPr>
        <w:lastRenderedPageBreak/>
        <w:t>2019</w:t>
      </w:r>
      <w:proofErr w:type="spellStart"/>
      <w:proofErr w:type="spellEnd"/>
      <w:proofErr w:type="spellStart"/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年浙江省</w:t>
      </w:r>
      <w:proofErr w:type="spellEnd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xx食品</w:t>
      </w:r>
      <w:proofErr w:type="spellStart"/>
      <w:proofErr w:type="spellEnd"/>
      <w:proofErr w:type="spellStart"/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抽检</w:t>
      </w:r>
      <w:r>
        <w:rPr>
          <w:rFonts w:ascii="Times New Roman" w:eastAsia="方正小标宋简体" w:hAnsi="Times New Roman" w:cs="Times New Roman" w:hint="eastAsia"/>
          <w:sz w:val="44"/>
          <w:szCs w:val="44"/>
          <w:lang w:val="x-none"/>
        </w:rPr>
        <w:t>监测</w:t>
      </w:r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分析报告</w:t>
      </w:r>
      <w:proofErr w:type="spellEnd"/>
    </w:p>
    <w:p w14:paraId="37ECFB40" w14:textId="77777777" w:rsidR="00621DE5" w:rsidRDefault="00621DE5" w:rsidP="00621DE5">
      <w:pPr>
        <w:pStyle w:val="1"/>
        <w:jc w:val="center"/>
      </w:pPr>
      <w:bookmarkStart w:id="0" w:name="_Toc533076205"/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0"/>
    </w:p>
    <w:p w14:paraId="34E4E6D5" w14:textId="77777777" w:rsidR="00621DE5" w:rsidRPr="00833FB6" w:rsidRDefault="00621DE5" w:rsidP="00BF00AA">
      <w:pPr>
        <w:jc w:val="left"/>
        <w:rPr>
          <w:color w:val="FF0000"/>
        </w:rPr>
      </w:pPr>
      <w:r w:rsidRPr="00833FB6">
        <w:rPr>
          <w:rFonts w:hint="eastAsia"/>
          <w:color w:val="FF0000"/>
        </w:rPr>
        <w:t>（文字描述）</w:t>
      </w:r>
    </w:p>
    <w:p w14:paraId="78F7B4E1" w14:textId="77777777" w:rsidR="00D01659" w:rsidRDefault="00621DE5" w:rsidP="00BF00AA">
      <w:pPr>
        <w:spacing w:line="360" w:lineRule="auto"/>
        <w:ind w:firstLineChars="100" w:firstLine="210"/>
        <w:jc w:val="left"/>
        <w:rPr>
          <w:color w:val="FF0000"/>
        </w:rPr>
      </w:pPr>
      <w:r w:rsidRPr="00FD5720">
        <w:rPr>
          <w:rFonts w:hint="eastAsia"/>
          <w:color w:val="FF0000"/>
        </w:rPr>
        <w:t>共涉及生产和流通领域中</w:t>
      </w:r>
      <w:r w:rsidR="00B8735C">
        <w:rPr>
          <w:rFonts w:hint="eastAsia"/>
          <w:color w:val="FF0000"/>
        </w:rPr>
        <w:t>金华,嘉兴,台州,黔江,闵行,嘉定,杭州,绍兴,宁波</w:t>
      </w:r>
      <w:proofErr w:type="spellStart"/>
      <w:proofErr w:type="spellEnd"/>
      <w:r w:rsidRPr="00FD5720">
        <w:rPr>
          <w:rFonts w:hint="eastAsia"/>
          <w:color w:val="FF0000"/>
        </w:rPr>
        <w:t>等</w:t>
      </w:r>
      <w:r w:rsidR="00B8735C">
        <w:rPr>
          <w:rFonts w:hint="eastAsia"/>
          <w:color w:val="FF0000"/>
        </w:rPr>
        <w:t>9</w:t>
      </w:r>
      <w:proofErr w:type="spellStart"/>
      <w:proofErr w:type="spellEnd"/>
      <w:proofErr w:type="gramStart"/>
      <w:r w:rsidRPr="00FD5720">
        <w:rPr>
          <w:rFonts w:hint="eastAsia"/>
          <w:color w:val="FF0000"/>
        </w:rPr>
        <w:t>个</w:t>
      </w:r>
      <w:proofErr w:type="gramEnd"/>
      <w:r w:rsidRPr="00FD5720">
        <w:rPr>
          <w:rFonts w:hint="eastAsia"/>
          <w:color w:val="FF0000"/>
        </w:rPr>
        <w:t>地市的</w:t>
      </w:r>
      <w:r w:rsidR="00B8735C">
        <w:rPr>
          <w:rFonts w:hint="eastAsia"/>
          <w:color w:val="FF0000"/>
        </w:rPr>
        <w:t>食品</w:t>
      </w:r>
      <w:r w:rsidRPr="00FD5720">
        <w:rPr>
          <w:rFonts w:hint="eastAsia"/>
          <w:color w:val="FF0000"/>
        </w:rPr>
        <w:t>，共</w:t>
      </w:r>
      <w:r w:rsidR="001A754B">
        <w:rPr>
          <w:rFonts w:hint="eastAsia"/>
          <w:color w:val="FF0000"/>
        </w:rPr>
        <w:t>有：</w:t>
      </w:r>
      <w:r w:rsidR="00B8735C">
        <w:rPr>
          <w:rFonts w:hint="eastAsia"/>
          <w:color w:val="FF0000"/>
        </w:rPr>
        <w:t>速冻食品,糖果制品,薯类和膨化食品,冷冻饮品,粮食加工品,食用农产品,调味品,糕点,蛋制品</w:t>
      </w:r>
      <w:proofErr w:type="spellStart"/>
      <w:proofErr w:type="spellEnd"/>
      <w:r w:rsidR="00B8735C">
        <w:rPr>
          <w:rFonts w:hint="eastAsia"/>
          <w:color w:val="FF0000"/>
        </w:rPr>
        <w:t>等</w:t>
      </w:r>
      <w:proofErr w:type="spellStart"/>
      <w:proofErr w:type="spellEnd"/>
      <w:proofErr w:type="gramStart"/>
      <w:r>
        <w:rPr>
          <w:color w:val="FF0000"/>
          <w:u w:val="none"/>
        </w:rPr>
        <w:t>12</w:t>
      </w:r>
      <w:r w:rsidRPr="00FD5720">
        <w:rPr>
          <w:rFonts w:hint="eastAsia"/>
          <w:color w:val="FF0000"/>
        </w:rPr>
        <w:t>个</w:t>
      </w:r>
      <w:proofErr w:type="gramEnd"/>
      <w:r w:rsidRPr="00FD5720">
        <w:rPr>
          <w:rFonts w:hint="eastAsia"/>
          <w:color w:val="FF0000"/>
        </w:rPr>
        <w:t>类</w:t>
      </w:r>
      <w:r w:rsidR="001A754B">
        <w:rPr>
          <w:rFonts w:hint="eastAsia"/>
          <w:color w:val="FF0000"/>
        </w:rPr>
        <w:t>，</w:t>
      </w:r>
      <w:proofErr w:type="spellStart"/>
      <w:proofErr w:type="spellEnd"/>
      <w:r>
        <w:rPr>
          <w:color w:val="FF0000"/>
          <w:u w:val="none"/>
        </w:rPr>
        <w:t>雪霸王窝窝头,爆浆果心软糖（奇亚籽草莓味）,佳铁奶贝压片糖果,逗我果町（甜橙味）,迪恩熊软糖（小熊型）,酱油小鱼酥（原味）,大宝石雪泥（葡萄＋菠萝＋苹果口味）,泰国榴莲口味冰淇淋,大米</w:t>
      </w:r>
      <w:r w:rsidR="001A754B">
        <w:rPr>
          <w:rFonts w:hint="eastAsia"/>
          <w:color w:val="FF0000"/>
        </w:rPr>
        <w:t>等</w:t>
      </w:r>
      <w:r w:rsidR="00B8735C">
        <w:rPr>
          <w:rFonts w:hint="eastAsia"/>
          <w:color w:val="FF0000"/>
        </w:rPr>
        <w:t>30</w:t>
      </w:r>
      <w:proofErr w:type="spellStart"/>
      <w:proofErr w:type="spellEnd"/>
      <w:r w:rsidRPr="00FD5720">
        <w:rPr>
          <w:rFonts w:hint="eastAsia"/>
          <w:color w:val="FF0000"/>
        </w:rPr>
        <w:t>批次样品的抽检工作。检测项目主要是</w:t>
      </w:r>
      <w:r w:rsidR="00156580">
        <w:rPr>
          <w:rFonts w:hint="eastAsia"/>
          <w:color w:val="FF0000"/>
        </w:rPr>
        <w:t>糖精钠(以糖精计),菌落总数,大肠菌群,铅(以Pb计),柠檬黄,日落黄,胭脂红,苋菜红,相同色泽着色剂混合使用时各自用量占其最大使用量的比例之和(黄色)</w:t>
      </w:r>
      <w:proofErr w:type="spellStart"/>
      <w:proofErr w:type="spellEnd"/>
      <w:r w:rsidRPr="00FD5720">
        <w:rPr>
          <w:rFonts w:hint="eastAsia"/>
          <w:color w:val="FF0000"/>
        </w:rPr>
        <w:t>等</w:t>
      </w:r>
      <w:r w:rsidR="00156580">
        <w:rPr>
          <w:rFonts w:hint="eastAsia"/>
          <w:color w:val="FF0000"/>
        </w:rPr>
        <w:t>71</w:t>
      </w:r>
      <w:proofErr w:type="spellStart"/>
      <w:proofErr w:type="spellEnd"/>
      <w:r w:rsidR="00156580">
        <w:rPr>
          <w:rFonts w:hint="eastAsia"/>
          <w:color w:val="FF0000"/>
        </w:rPr>
        <w:t>种项目</w:t>
      </w:r>
      <w:r w:rsidRPr="00FD5720">
        <w:rPr>
          <w:rFonts w:hint="eastAsia"/>
          <w:color w:val="FF0000"/>
        </w:rPr>
        <w:t>。</w:t>
      </w:r>
    </w:p>
    <w:p w14:paraId="4C78497A" w14:textId="0F1D7AAB" w:rsidR="00621DE5" w:rsidRPr="00FD5720" w:rsidRDefault="00621DE5" w:rsidP="00BF00AA">
      <w:pPr>
        <w:spacing w:line="360" w:lineRule="auto"/>
        <w:ind w:firstLineChars="100" w:firstLine="210"/>
        <w:jc w:val="left"/>
        <w:rPr>
          <w:color w:val="FF0000"/>
        </w:rPr>
      </w:pPr>
      <w:r w:rsidRPr="00FD5720">
        <w:rPr>
          <w:rFonts w:hint="eastAsia"/>
          <w:color w:val="FF0000"/>
        </w:rPr>
        <w:t xml:space="preserve">抽检的总体情况是： </w:t>
      </w:r>
    </w:p>
    <w:p w14:paraId="35E89D72" w14:textId="4D5551DB" w:rsidR="00621DE5" w:rsidRDefault="00621DE5" w:rsidP="00BF00AA">
      <w:pPr>
        <w:spacing w:line="360" w:lineRule="auto"/>
        <w:jc w:val="left"/>
        <w:rPr>
          <w:color w:val="FF0000"/>
        </w:rPr>
      </w:pPr>
      <w:r w:rsidRPr="00FD5720">
        <w:rPr>
          <w:rFonts w:hint="eastAsia"/>
          <w:color w:val="FF0000"/>
        </w:rPr>
        <w:t>全年监督抽检</w:t>
      </w:r>
      <w:r w:rsidR="009844A6">
        <w:rPr>
          <w:rFonts w:hint="eastAsia"/>
          <w:color w:val="FF0000"/>
        </w:rPr>
        <w:t>30</w:t>
      </w:r>
      <w:proofErr w:type="spellStart"/>
      <w:proofErr w:type="spellEnd"/>
      <w:r w:rsidRPr="00FD5720">
        <w:rPr>
          <w:rFonts w:hint="eastAsia"/>
          <w:color w:val="FF0000"/>
        </w:rPr>
        <w:t>批次样品，</w:t>
      </w:r>
      <w:r w:rsidR="00AF7771">
        <w:rPr>
          <w:rFonts w:hint="eastAsia"/>
          <w:color w:val="FF0000"/>
        </w:rPr>
        <w:t>不合格商品为</w:t>
      </w:r>
      <w:r>
        <w:rPr>
          <w:color w:val="FF0000"/>
          <w:u w:val="none"/>
        </w:rPr>
        <w:t>母子酱油,雪霸王窝窝头</w:t>
      </w:r>
      <w:r w:rsidR="00485B0A">
        <w:rPr>
          <w:rFonts w:hint="eastAsia"/>
          <w:color w:val="FF0000"/>
        </w:rPr>
        <w:t>等总共</w:t>
      </w:r>
      <w:proofErr w:type="spellStart"/>
      <w:proofErr w:type="spellEnd"/>
      <w:r>
        <w:rPr>
          <w:color w:val="FF0000"/>
          <w:u w:val="none"/>
        </w:rPr>
        <w:t>2</w:t>
      </w:r>
      <w:r w:rsidR="00AF7771">
        <w:rPr>
          <w:rFonts w:hint="eastAsia"/>
          <w:color w:val="FF0000"/>
        </w:rPr>
        <w:t>批，</w:t>
      </w:r>
      <w:r w:rsidRPr="00FD5720">
        <w:rPr>
          <w:rFonts w:hint="eastAsia"/>
          <w:color w:val="FF0000"/>
        </w:rPr>
        <w:t>合格率为</w:t>
      </w:r>
      <w:r w:rsidR="009844A6">
        <w:rPr>
          <w:color w:val="FF0000"/>
        </w:rPr>
        <w:t>93.33%</w:t>
      </w:r>
      <w:proofErr w:type="spellStart"/>
      <w:proofErr w:type="spellEnd"/>
      <w:r w:rsidR="00485B0A">
        <w:rPr>
          <w:rFonts w:hint="eastAsia"/>
          <w:color w:val="FF0000"/>
        </w:rPr>
        <w:t>。</w:t>
      </w:r>
    </w:p>
    <w:p w14:paraId="5D322403" w14:textId="679C5EAE" w:rsidR="00EA5D86" w:rsidRDefault="00EA5D86" w:rsidP="00BF00AA">
      <w:pPr>
        <w:spacing w:line="360" w:lineRule="auto"/>
        <w:jc w:val="left"/>
        <w:rPr>
          <w:color w:val="FF0000"/>
        </w:rPr>
      </w:pPr>
    </w:p>
    <w:p w14:paraId="74E92002" w14:textId="2E7DF506" w:rsidR="00EA5D86" w:rsidRDefault="00EA5D86" w:rsidP="00BF00AA">
      <w:pPr>
        <w:spacing w:line="360" w:lineRule="auto"/>
        <w:jc w:val="left"/>
        <w:rPr>
          <w:color w:val="FF0000"/>
        </w:rPr>
      </w:pP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076"/>
        <w:gridCol w:w="2076"/>
        <w:gridCol w:w="2076"/>
        <w:gridCol w:w="2076"/>
      </w:tblGrid>
      <w:tr>
        <w:tc>
          <w:p>
            <w:r>
              <w:rPr>
                <w:color w:val="ff0000"/>
              </w:rPr>
              <w:t>食品品种</w:t>
            </w:r>
          </w:p>
        </w:tc>
        <w:tc>
          <w:p>
            <w:r>
              <w:rPr>
                <w:color w:val="ff0000"/>
              </w:rPr>
              <w:t>抽查批次</w:t>
            </w:r>
          </w:p>
        </w:tc>
        <w:tc>
          <w:p>
            <w:r>
              <w:rPr>
                <w:color w:val="ff0000"/>
              </w:rPr>
              <w:t>不合格批次</w:t>
            </w:r>
          </w:p>
        </w:tc>
        <w:tc>
          <w:p>
            <w:r>
              <w:rPr>
                <w:color w:val="ff0000"/>
              </w:rPr>
              <w:t>合格率</w:t>
            </w:r>
          </w:p>
        </w:tc>
      </w:tr>
      <w:tr>
        <w:tc>
          <w:p>
            <w:r>
              <w:t xml:space="preserve">酒类	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冷冻饮品	</w:t>
            </w:r>
          </w:p>
        </w:tc>
        <w:tc>
          <w:p>
            <w:r>
              <w:t>10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粮食加工品	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调味品	</w:t>
            </w:r>
          </w:p>
        </w:tc>
        <w:tc>
          <w:p>
            <w:r>
              <w:t>39</w:t>
            </w:r>
          </w:p>
        </w:tc>
        <w:tc>
          <w:p>
            <w:r>
              <w:t>1</w:t>
            </w:r>
          </w:p>
        </w:tc>
        <w:tc>
          <w:p>
            <w:r>
              <w:t>97.44%</w:t>
            </w:r>
          </w:p>
        </w:tc>
      </w:tr>
      <w:tr>
        <w:tc>
          <w:p>
            <w:r>
              <w:t xml:space="preserve">速冻食品	</w:t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  <w:tc>
          <w:p>
            <w:r>
              <w:t>90.91%</w:t>
            </w:r>
          </w:p>
        </w:tc>
      </w:tr>
      <w:tr>
        <w:tc>
          <w:p>
            <w:r>
              <w:t xml:space="preserve">薯类和膨化食品	</w:t>
            </w:r>
          </w:p>
        </w:tc>
        <w:tc>
          <w:p>
            <w:r>
              <w:t>9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糕点	</w:t>
            </w:r>
          </w:p>
        </w:tc>
        <w:tc>
          <w:p>
            <w:r>
              <w:t>72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蛋制品	</w:t>
            </w:r>
          </w:p>
        </w:tc>
        <w:tc>
          <w:p>
            <w:r>
              <w:t>7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水果制品	</w:t>
            </w:r>
          </w:p>
        </w:tc>
        <w:tc>
          <w:p>
            <w:r>
              <w:t>18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糖果制品	</w:t>
            </w:r>
          </w:p>
        </w:tc>
        <w:tc>
          <w:p>
            <w:r>
              <w:t>36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食用农产品	</w:t>
            </w:r>
          </w:p>
        </w:tc>
        <w:tc>
          <w:p>
            <w:r>
              <w:t>29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  <w:tr>
        <w:tc>
          <w:p>
            <w:r>
              <w:t xml:space="preserve">炒货食品及坚果制品	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  <w:tc>
          <w:p>
            <w:r>
              <w:t>100.00%</w:t>
            </w:r>
          </w:p>
        </w:tc>
      </w:tr>
    </w:tbl>
    <w:p w14:paraId="1DBADB18" w14:textId="543B78A7" w:rsidR="00C84C65" w:rsidRDefault="00C84C65" w:rsidP="00BF00AA">
      <w:pPr>
        <w:spacing w:line="360" w:lineRule="auto"/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D926851" wp14:editId="080C317F">
            <wp:extent cx="5274310" cy="3076575"/>
            <wp:effectExtent l="0" t="0" r="2540" b="9525"/>
            <wp:docPr id="1" name="图表 1" descr="{{pieSampling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 w14:paraId="08908300" w14:textId="79BB0DA2" w:rsidR="005C1468" w:rsidRPr="00C84C65" w:rsidRDefault="005C1468" w:rsidP="00BF00AA">
      <w:pPr>
        <w:spacing w:line="360" w:lineRule="auto"/>
        <w:jc w:val="left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18070287" wp14:editId="7A8542B8">
            <wp:extent cx="5274310" cy="3076575"/>
            <wp:effectExtent l="0" t="0" r="2540" b="9525"/>
            <wp:docPr id="2" name="图表 2" descr="{{barLoca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5C1468" w:rsidRPr="00C8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82034" w14:textId="77777777" w:rsidR="0052261D" w:rsidRDefault="0052261D" w:rsidP="00621DE5">
      <w:r>
        <w:separator/>
      </w:r>
    </w:p>
  </w:endnote>
  <w:endnote w:type="continuationSeparator" w:id="0">
    <w:p w14:paraId="1F7393D4" w14:textId="77777777" w:rsidR="0052261D" w:rsidRDefault="0052261D" w:rsidP="0062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66B5D" w14:textId="77777777" w:rsidR="0052261D" w:rsidRDefault="0052261D" w:rsidP="00621DE5">
      <w:r>
        <w:separator/>
      </w:r>
    </w:p>
  </w:footnote>
  <w:footnote w:type="continuationSeparator" w:id="0">
    <w:p w14:paraId="78D5EDB7" w14:textId="77777777" w:rsidR="0052261D" w:rsidRDefault="0052261D" w:rsidP="00621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5"/>
    <w:rsid w:val="000B6266"/>
    <w:rsid w:val="0012041D"/>
    <w:rsid w:val="00156580"/>
    <w:rsid w:val="001A754B"/>
    <w:rsid w:val="002D18EF"/>
    <w:rsid w:val="002F5AFA"/>
    <w:rsid w:val="003C1D7A"/>
    <w:rsid w:val="00413FEC"/>
    <w:rsid w:val="00415953"/>
    <w:rsid w:val="00485B0A"/>
    <w:rsid w:val="004D6247"/>
    <w:rsid w:val="004F48D8"/>
    <w:rsid w:val="0052261D"/>
    <w:rsid w:val="005B2101"/>
    <w:rsid w:val="005C1468"/>
    <w:rsid w:val="005F229E"/>
    <w:rsid w:val="00621DE5"/>
    <w:rsid w:val="007544DF"/>
    <w:rsid w:val="00764E81"/>
    <w:rsid w:val="00792CFB"/>
    <w:rsid w:val="00852EA0"/>
    <w:rsid w:val="00881A2A"/>
    <w:rsid w:val="0097309C"/>
    <w:rsid w:val="009844A6"/>
    <w:rsid w:val="00A37797"/>
    <w:rsid w:val="00AF7771"/>
    <w:rsid w:val="00B86017"/>
    <w:rsid w:val="00B8735C"/>
    <w:rsid w:val="00BF00AA"/>
    <w:rsid w:val="00C3046E"/>
    <w:rsid w:val="00C84C65"/>
    <w:rsid w:val="00D01659"/>
    <w:rsid w:val="00D0579C"/>
    <w:rsid w:val="00D26281"/>
    <w:rsid w:val="00D45A89"/>
    <w:rsid w:val="00E115AB"/>
    <w:rsid w:val="00E22A31"/>
    <w:rsid w:val="00E44E85"/>
    <w:rsid w:val="00E7140B"/>
    <w:rsid w:val="00E94817"/>
    <w:rsid w:val="00EA5D86"/>
    <w:rsid w:val="00F1308A"/>
    <w:rsid w:val="00FA0A73"/>
    <w:rsid w:val="00F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9258"/>
  <w15:chartTrackingRefBased/>
  <w15:docId w15:val="{5F711FD0-6401-4384-97A8-BF2A5F38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2B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21D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DE5"/>
    <w:rPr>
      <w:sz w:val="18"/>
      <w:szCs w:val="18"/>
    </w:rPr>
  </w:style>
  <w:style w:type="character" w:customStyle="1" w:styleId="10">
    <w:name w:val="标题 1 字符"/>
    <w:basedOn w:val="a0"/>
    <w:link w:val="1"/>
    <w:rsid w:val="00621DE5"/>
    <w:rPr>
      <w:rFonts w:eastAsia="黑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harts/chart1.xml" Type="http://schemas.openxmlformats.org/officeDocument/2006/relationships/chart"/><Relationship Id="rId7" Target="charts/chart2.xml" Type="http://schemas.openxmlformats.org/officeDocument/2006/relationships/chart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采样地点比例图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采样地点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D6C8-4144-A432-625BA0DFEB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D6C8-4144-A432-625BA0DFEB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D6C8-4144-A432-625BA0DFEBD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D6C8-4144-A432-625BA0DFEB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其他	</c:v>
                </c:pt>
                <c:pt idx="1">
                  <c:v>网购	</c:v>
                </c:pt>
                <c:pt idx="2">
                  <c:v>超市	</c:v>
                </c:pt>
                <c:pt idx="3">
                  <c:v>成品库（已检区）	</c:v>
                </c:pt>
                <c:pt idx="4">
                  <c:v>批发市场	</c:v>
                </c:pt>
                <c:pt idx="5">
                  <c:v>小食杂店	</c:v>
                </c:pt>
                <c:pt idx="6">
                  <c:v>农贸市场	</c:v>
                </c:pt>
                <c:pt idx="7">
                  <c:v>菜市场	</c:v>
                </c:pt>
                <c:pt idx="8">
                  <c:v>小吃店	</c:v>
                </c:pt>
                <c:pt idx="9">
                  <c:v>商场	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10</c:v>
                </c:pt>
                <c:pt idx="1">
                  <c:v>25</c:v>
                </c:pt>
                <c:pt idx="2">
                  <c:v>73</c:v>
                </c:pt>
                <c:pt idx="3">
                  <c:v>41</c:v>
                </c:pt>
                <c:pt idx="4">
                  <c:v>34</c:v>
                </c:pt>
                <c:pt idx="5">
                  <c:v>20</c:v>
                </c:pt>
                <c:pt idx="6">
                  <c:v>25</c:v>
                </c:pt>
                <c:pt idx="7">
                  <c:v>13</c:v>
                </c:pt>
                <c:pt idx="8">
                  <c:v>10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CC-433D-80E0-8879C55667D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地区合格率情况图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抽检批次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金华	</c:v>
                </c:pt>
                <c:pt idx="1">
                  <c:v>闵行	</c:v>
                </c:pt>
                <c:pt idx="2">
                  <c:v>嘉兴	</c:v>
                </c:pt>
                <c:pt idx="3">
                  <c:v>嘉定	</c:v>
                </c:pt>
                <c:pt idx="4">
                  <c:v>杭州	</c:v>
                </c:pt>
                <c:pt idx="5">
                  <c:v>绍兴	</c:v>
                </c:pt>
                <c:pt idx="6">
                  <c:v>宁波	</c:v>
                </c:pt>
                <c:pt idx="7">
                  <c:v>台州	</c:v>
                </c:pt>
                <c:pt idx="8">
                  <c:v>黔江	</c:v>
                </c:pt>
              </c:strCache>
            </c:strRef>
          </c:cat>
          <c:val>
            <c:numRef>
              <c:f>Sheet1!$B$2:$B$10</c:f>
              <c:numCache>
                <c:ptCount val="9"/>
                <c:pt idx="0">
                  <c:v>7</c:v>
                </c:pt>
                <c:pt idx="1">
                  <c:v>10</c:v>
                </c:pt>
                <c:pt idx="2">
                  <c:v>61</c:v>
                </c:pt>
                <c:pt idx="3">
                  <c:v>9</c:v>
                </c:pt>
                <c:pt idx="4">
                  <c:v>33</c:v>
                </c:pt>
                <c:pt idx="5">
                  <c:v>23</c:v>
                </c:pt>
                <c:pt idx="6">
                  <c:v>69</c:v>
                </c:pt>
                <c:pt idx="7">
                  <c:v>34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8-478B-8C6A-CD5788FCA3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不合格批次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金华	</c:v>
                </c:pt>
                <c:pt idx="1">
                  <c:v>闵行	</c:v>
                </c:pt>
                <c:pt idx="2">
                  <c:v>嘉兴	</c:v>
                </c:pt>
                <c:pt idx="3">
                  <c:v>嘉定	</c:v>
                </c:pt>
                <c:pt idx="4">
                  <c:v>杭州	</c:v>
                </c:pt>
                <c:pt idx="5">
                  <c:v>绍兴	</c:v>
                </c:pt>
                <c:pt idx="6">
                  <c:v>宁波	</c:v>
                </c:pt>
                <c:pt idx="7">
                  <c:v>台州	</c:v>
                </c:pt>
                <c:pt idx="8">
                  <c:v>黔江	</c:v>
                </c:pt>
              </c:strCache>
            </c:strRef>
          </c:cat>
          <c:val>
            <c:numRef>
              <c:f>Sheet1!$C$2:$C$10</c:f>
              <c:numCache>
                <c:ptCount val="9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18-478B-8C6A-CD5788FCA3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03685280"/>
        <c:axId val="703684624"/>
        <c:axId val="0"/>
      </c:bar3DChart>
      <c:catAx>
        <c:axId val="70368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684624"/>
        <c:crosses val="autoZero"/>
        <c:auto val="1"/>
        <c:lblAlgn val="ctr"/>
        <c:lblOffset val="100"/>
        <c:noMultiLvlLbl val="0"/>
      </c:catAx>
      <c:valAx>
        <c:axId val="7036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68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2020-12-09T15:11:00Z</dcterms:created>
  <dc:creator>DALAO YANG</dc:creator>
  <cp:lastModifiedBy>DALAO YANG</cp:lastModifiedBy>
  <dcterms:modified xsi:type="dcterms:W3CDTF">2020-12-11T05:35:00Z</dcterms:modified>
  <cp:revision>20</cp:revision>
</cp:coreProperties>
</file>