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5FD03">
      <w:pPr>
        <w:widowControl/>
        <w:jc w:val="center"/>
        <w:rPr>
          <w:rFonts w:ascii="Times New Roman" w:hAnsi="Times New Roman" w:cs="Times New Roman"/>
          <w:b/>
          <w:bCs/>
          <w:kern w:val="0"/>
          <w:sz w:val="28"/>
          <w:szCs w:val="28"/>
        </w:rPr>
      </w:pPr>
      <w:r>
        <w:rPr>
          <w:rFonts w:ascii="Times New Roman" w:hAnsi="Times New Roman" w:cs="Times New Roman"/>
          <w:b/>
          <w:bCs/>
          <w:kern w:val="0"/>
          <w:sz w:val="28"/>
          <w:szCs w:val="28"/>
        </w:rPr>
        <w:t>Response Letter</w:t>
      </w:r>
    </w:p>
    <w:p w14:paraId="05E80322">
      <w:pPr>
        <w:autoSpaceDE w:val="0"/>
        <w:autoSpaceDN w:val="0"/>
        <w:adjustRightInd w:val="0"/>
        <w:jc w:val="left"/>
        <w:rPr>
          <w:rFonts w:ascii="Times New Roman" w:hAnsi="Times New Roman" w:cs="Times New Roman"/>
          <w:szCs w:val="21"/>
        </w:rPr>
      </w:pPr>
    </w:p>
    <w:p w14:paraId="30CCD4D1">
      <w:pPr>
        <w:autoSpaceDE w:val="0"/>
        <w:autoSpaceDN w:val="0"/>
        <w:adjustRightInd w:val="0"/>
        <w:jc w:val="left"/>
        <w:rPr>
          <w:rFonts w:ascii="Times New Roman" w:hAnsi="Times New Roman" w:cs="Times New Roman"/>
          <w:szCs w:val="21"/>
        </w:rPr>
      </w:pPr>
      <w:r>
        <w:rPr>
          <w:rFonts w:ascii="Times New Roman" w:hAnsi="Times New Roman" w:cs="Times New Roman"/>
          <w:szCs w:val="21"/>
        </w:rPr>
        <w:t>Dear Editor, and Reviewers:</w:t>
      </w:r>
    </w:p>
    <w:p w14:paraId="3D0D28DF">
      <w:pPr>
        <w:autoSpaceDE w:val="0"/>
        <w:autoSpaceDN w:val="0"/>
        <w:adjustRightInd w:val="0"/>
        <w:jc w:val="left"/>
        <w:rPr>
          <w:rFonts w:ascii="Times New Roman" w:hAnsi="Times New Roman" w:cs="Times New Roman"/>
          <w:szCs w:val="21"/>
        </w:rPr>
      </w:pPr>
    </w:p>
    <w:p w14:paraId="3CE5CFC6">
      <w:pPr>
        <w:autoSpaceDE w:val="0"/>
        <w:autoSpaceDN w:val="0"/>
        <w:adjustRightInd w:val="0"/>
        <w:ind w:firstLine="420"/>
        <w:rPr>
          <w:rFonts w:ascii="Times New Roman" w:hAnsi="Times New Roman" w:cs="Times New Roman"/>
          <w:szCs w:val="21"/>
        </w:rPr>
      </w:pPr>
      <w:r>
        <w:rPr>
          <w:rFonts w:ascii="Times New Roman" w:hAnsi="Times New Roman" w:cs="Times New Roman"/>
          <w:szCs w:val="21"/>
        </w:rPr>
        <w:t xml:space="preserve">We would like to express our sincere gratitude to the editorial team and reviewers for your constructive feedback on our manuscript, </w:t>
      </w:r>
      <w:r>
        <w:rPr>
          <w:rFonts w:hint="eastAsia" w:ascii="Times New Roman" w:hAnsi="Times New Roman" w:cs="Times New Roman"/>
          <w:szCs w:val="21"/>
        </w:rPr>
        <w:t xml:space="preserve">1885579, titled </w:t>
      </w:r>
      <w:r>
        <w:rPr>
          <w:rFonts w:hint="eastAsia" w:ascii="Times New Roman" w:hAnsi="Times New Roman" w:cs="Times New Roman"/>
          <w:szCs w:val="21"/>
          <w:lang w:eastAsia="zh-CN"/>
        </w:rPr>
        <w:t>“F2DMAS: A Smartphone Video-Based 3D Phenotyping Workflow for Potted Plants in Complex Backgrounds”</w:t>
      </w:r>
      <w:r>
        <w:rPr>
          <w:rFonts w:ascii="Times New Roman" w:hAnsi="Times New Roman" w:cs="Times New Roman"/>
          <w:szCs w:val="21"/>
        </w:rPr>
        <w:t>. Your insights have significantly contributed to the improvement of our manuscript. We have carefully revised the manuscript to address all the raised concerns.</w:t>
      </w:r>
    </w:p>
    <w:p w14:paraId="5760B3D3">
      <w:pPr>
        <w:autoSpaceDE w:val="0"/>
        <w:autoSpaceDN w:val="0"/>
        <w:adjustRightInd w:val="0"/>
        <w:ind w:firstLine="420"/>
        <w:rPr>
          <w:rFonts w:ascii="Times New Roman" w:hAnsi="Times New Roman" w:cs="Times New Roman"/>
          <w:szCs w:val="21"/>
        </w:rPr>
      </w:pPr>
    </w:p>
    <w:p w14:paraId="33DF77C6">
      <w:pPr>
        <w:autoSpaceDE w:val="0"/>
        <w:autoSpaceDN w:val="0"/>
        <w:adjustRightInd w:val="0"/>
        <w:ind w:firstLine="420"/>
        <w:rPr>
          <w:rFonts w:ascii="Times New Roman" w:hAnsi="Times New Roman" w:cs="Times New Roman"/>
          <w:szCs w:val="21"/>
        </w:rPr>
      </w:pPr>
      <w:r>
        <w:rPr>
          <w:rFonts w:ascii="Times New Roman" w:hAnsi="Times New Roman" w:cs="Times New Roman"/>
          <w:szCs w:val="21"/>
        </w:rPr>
        <w:t xml:space="preserve">In the subsequent parts, we systematically resolve the questions and comments from the Editor and each of the reviewers (Reviewer 1 and Reviewer 2). </w:t>
      </w:r>
      <w:r>
        <w:rPr>
          <w:rFonts w:hint="eastAsia" w:ascii="Times New Roman" w:hAnsi="Times New Roman" w:cs="Times New Roman"/>
          <w:szCs w:val="21"/>
        </w:rPr>
        <w:t>Our revised manuscript will be submitted again in Review Forum</w:t>
      </w:r>
      <w:r>
        <w:rPr>
          <w:rFonts w:ascii="Times New Roman" w:hAnsi="Times New Roman" w:cs="Times New Roman"/>
          <w:szCs w:val="21"/>
        </w:rPr>
        <w:t>. For ease of review, we have marked the locations of the revisions and highlighted the revised contents in our responses. Throughout the revision process, we have diligently incorporated your queries and recommendations, thereby enhancing the clarity, robustness, and overall quality of our manuscript.</w:t>
      </w:r>
    </w:p>
    <w:p w14:paraId="1F02C3C5">
      <w:pPr>
        <w:widowControl/>
        <w:rPr>
          <w:rFonts w:ascii="Times New Roman" w:hAnsi="Times New Roman" w:cs="Times New Roman"/>
          <w:b/>
          <w:bCs/>
        </w:rPr>
      </w:pPr>
      <w:r>
        <w:rPr>
          <w:rFonts w:ascii="Times New Roman" w:hAnsi="Times New Roman" w:cs="Times New Roman"/>
          <w:b/>
          <w:bCs/>
        </w:rPr>
        <w:br w:type="page"/>
      </w:r>
    </w:p>
    <w:p w14:paraId="5F31E13D">
      <w:pPr>
        <w:rPr>
          <w:rFonts w:ascii="Times New Roman" w:hAnsi="Times New Roman" w:cs="Times New Roman"/>
          <w:b/>
          <w:bCs/>
        </w:rPr>
      </w:pPr>
      <w:r>
        <w:rPr>
          <w:rFonts w:ascii="Times New Roman" w:hAnsi="Times New Roman" w:cs="Times New Roman"/>
          <w:b/>
          <w:bCs/>
        </w:rPr>
        <w:t>Response to Reviewer 1:</w:t>
      </w:r>
    </w:p>
    <w:p w14:paraId="179AC903">
      <w:pPr>
        <w:rPr>
          <w:rFonts w:ascii="Times New Roman" w:hAnsi="Times New Roman" w:cs="Times New Roman"/>
        </w:rPr>
      </w:pPr>
    </w:p>
    <w:p w14:paraId="281E487D">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omment 1: Summary.</w:t>
      </w:r>
    </w:p>
    <w:p w14:paraId="2CCFB96E">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This is a solid and well-executed study. This manuscript presents F2DMAS, an end-to-end workflow for 3D plant phenotyping using consumer smartphone videos. The pipeline integrates frequency-domain frame filtering, foundation-model-based segmentation (FSAM3), 2D Gaussian Splatting reconstruction, TSDF meshing, scale recovery, and phenotypic trait extraction. The authors also evaluate the method on 15 plant species under two acquisition scenarios and report improved reconstruction quality and processing efficiency compared to baseline methods.</w:t>
      </w:r>
      <w:r>
        <w:rPr>
          <w:color w:val="156082" w:themeColor="accent1"/>
          <w:sz w:val="16"/>
          <w:szCs w:val="18"/>
          <w14:textFill>
            <w14:solidFill>
              <w14:schemeClr w14:val="accent1"/>
            </w14:solidFill>
          </w14:textFill>
        </w:rPr>
        <w:t xml:space="preserve"> </w:t>
      </w:r>
    </w:p>
    <w:p w14:paraId="38097885">
      <w:pPr>
        <w:ind w:firstLine="420"/>
        <w:rPr>
          <w:rFonts w:hint="eastAsia"/>
          <w:color w:val="156082" w:themeColor="accent1"/>
          <w:sz w:val="16"/>
          <w:szCs w:val="18"/>
          <w14:textFill>
            <w14:solidFill>
              <w14:schemeClr w14:val="accent1"/>
            </w14:solidFill>
          </w14:textFill>
        </w:rPr>
      </w:pPr>
    </w:p>
    <w:p w14:paraId="5E614BB3">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w:t>
      </w:r>
      <w:r>
        <w:rPr>
          <w:rFonts w:ascii="Times New Roman" w:hAnsi="Times New Roman" w:cs="Times New Roman"/>
          <w:szCs w:val="21"/>
        </w:rPr>
        <w:t>e would like to thank Reviewer 1 for your interest in our work. We are very grateful for your meticulous reading and positive feedback on our manuscript, which is very helpful in improving the paper, including writing, referencing and multi-stage exploration. We have completely revised the manuscript, making essential effort to address and resolve all your valuable questions and concerns.</w:t>
      </w:r>
      <w:r>
        <w:rPr>
          <w:sz w:val="18"/>
          <w:szCs w:val="20"/>
        </w:rPr>
        <w:t xml:space="preserve"> </w:t>
      </w:r>
      <w:r>
        <w:rPr>
          <w:rFonts w:ascii="Times New Roman" w:hAnsi="Times New Roman" w:cs="Times New Roman"/>
          <w:szCs w:val="21"/>
        </w:rPr>
        <w:t xml:space="preserve">Comments from Reviewer 1 are in </w:t>
      </w:r>
      <w:r>
        <w:rPr>
          <w:rFonts w:ascii="Times New Roman" w:hAnsi="Times New Roman" w:cs="Times New Roman"/>
          <w:i/>
          <w:iCs/>
          <w:color w:val="156082" w:themeColor="accent1"/>
          <w:szCs w:val="21"/>
          <w14:textFill>
            <w14:solidFill>
              <w14:schemeClr w14:val="accent1"/>
            </w14:solidFill>
          </w14:textFill>
        </w:rPr>
        <w:t>italic blue typeface</w:t>
      </w:r>
      <w:r>
        <w:rPr>
          <w:rFonts w:ascii="Times New Roman" w:hAnsi="Times New Roman" w:cs="Times New Roman"/>
          <w:szCs w:val="21"/>
        </w:rPr>
        <w:t>, and our responses are in normal typeface.</w:t>
      </w:r>
      <w:bookmarkStart w:id="13" w:name="_GoBack"/>
      <w:bookmarkEnd w:id="13"/>
    </w:p>
    <w:p w14:paraId="55A1F382">
      <w:pPr>
        <w:rPr>
          <w:rFonts w:ascii="Times New Roman" w:hAnsi="Times New Roman" w:cs="Times New Roman"/>
          <w:szCs w:val="21"/>
        </w:rPr>
      </w:pPr>
    </w:p>
    <w:p w14:paraId="4107A821">
      <w:pPr>
        <w:rPr>
          <w:rFonts w:ascii="Times New Roman" w:hAnsi="Times New Roman" w:cs="Times New Roman"/>
          <w:szCs w:val="21"/>
        </w:rPr>
      </w:pPr>
    </w:p>
    <w:p w14:paraId="5DC9D506">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2</w:t>
      </w:r>
      <w:r>
        <w:rPr>
          <w:rFonts w:ascii="Times New Roman" w:hAnsi="Times New Roman" w:cs="Times New Roman"/>
          <w:b/>
          <w:bCs/>
          <w:i/>
          <w:iCs/>
          <w:szCs w:val="21"/>
        </w:rPr>
        <w:t xml:space="preserve">: </w:t>
      </w:r>
      <w:r>
        <w:rPr>
          <w:rFonts w:hint="eastAsia" w:ascii="Times New Roman" w:hAnsi="Times New Roman" w:cs="Times New Roman"/>
          <w:b/>
          <w:bCs/>
          <w:i/>
          <w:iCs/>
          <w:szCs w:val="21"/>
        </w:rPr>
        <w:t>Title and Scope Statement</w:t>
      </w:r>
      <w:r>
        <w:rPr>
          <w:rFonts w:ascii="Times New Roman" w:hAnsi="Times New Roman" w:cs="Times New Roman"/>
          <w:b/>
          <w:bCs/>
          <w:i/>
          <w:iCs/>
          <w:szCs w:val="21"/>
        </w:rPr>
        <w:t>.</w:t>
      </w:r>
    </w:p>
    <w:p w14:paraId="22FE3B9F">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The title is clear and descriptive. Consider adding a subtitle to highlight the application, e.g., "A Knowledge-Graph-Based QA System for Sustainable Crop Protection."</w:t>
      </w:r>
      <w:r>
        <w:rPr>
          <w:rFonts w:ascii="Times New Roman" w:hAnsi="Times New Roman" w:cs="Times New Roman"/>
          <w:i/>
          <w:iCs/>
          <w:color w:val="156082" w:themeColor="accent1"/>
          <w:szCs w:val="21"/>
          <w14:textFill>
            <w14:solidFill>
              <w14:schemeClr w14:val="accent1"/>
            </w14:solidFill>
          </w14:textFill>
        </w:rPr>
        <w:t>.</w:t>
      </w:r>
      <w:r>
        <w:rPr>
          <w:color w:val="156082" w:themeColor="accent1"/>
          <w:sz w:val="16"/>
          <w:szCs w:val="18"/>
          <w14:textFill>
            <w14:solidFill>
              <w14:schemeClr w14:val="accent1"/>
            </w14:solidFill>
          </w14:textFill>
        </w:rPr>
        <w:t xml:space="preserve"> </w:t>
      </w:r>
    </w:p>
    <w:p w14:paraId="0E420095">
      <w:pPr>
        <w:rPr>
          <w:rFonts w:hint="eastAsia"/>
        </w:rPr>
      </w:pPr>
    </w:p>
    <w:p w14:paraId="151D01FD">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suggestion to better highlight the application. We have added a subtitle to the title page to make the scope explicit:</w:t>
      </w:r>
    </w:p>
    <w:p w14:paraId="14E200AF">
      <w:pPr>
        <w:rPr>
          <w:rFonts w:ascii="Times New Roman" w:hAnsi="Times New Roman" w:cs="Times New Roman"/>
          <w:szCs w:val="21"/>
        </w:rPr>
      </w:pPr>
      <w:r>
        <w:rPr>
          <w:rFonts w:hint="eastAsia" w:ascii="Times New Roman" w:hAnsi="Times New Roman" w:cs="Times New Roman"/>
          <w:szCs w:val="21"/>
        </w:rPr>
        <w:t>Title: Crop GraphRAG: Pest and Disease Knowledge Base Q&amp;A System for Sustainable Crop Protection</w:t>
      </w:r>
    </w:p>
    <w:p w14:paraId="3D40EEC6">
      <w:pPr>
        <w:rPr>
          <w:rFonts w:ascii="Times New Roman" w:hAnsi="Times New Roman" w:cs="Times New Roman"/>
          <w:szCs w:val="21"/>
        </w:rPr>
      </w:pPr>
      <w:r>
        <w:rPr>
          <w:rFonts w:hint="eastAsia" w:ascii="Times New Roman" w:hAnsi="Times New Roman" w:cs="Times New Roman"/>
          <w:szCs w:val="21"/>
        </w:rPr>
        <w:t>This change emphasizes the system’s practical focus on sustainable crop protection while preserving the methodological contribution in the main title.</w:t>
      </w:r>
    </w:p>
    <w:p w14:paraId="7F14FA6B">
      <w:pPr>
        <w:rPr>
          <w:rFonts w:hint="eastAsia"/>
        </w:rPr>
      </w:pPr>
    </w:p>
    <w:p w14:paraId="62D7C890">
      <w:pPr>
        <w:rPr>
          <w:rFonts w:hint="eastAsia"/>
        </w:rPr>
      </w:pPr>
    </w:p>
    <w:p w14:paraId="0B363985">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3</w:t>
      </w:r>
      <w:r>
        <w:rPr>
          <w:rFonts w:ascii="Times New Roman" w:hAnsi="Times New Roman" w:cs="Times New Roman"/>
          <w:b/>
          <w:bCs/>
          <w:i/>
          <w:iCs/>
          <w:szCs w:val="21"/>
        </w:rPr>
        <w:t xml:space="preserve">: </w:t>
      </w:r>
      <w:r>
        <w:rPr>
          <w:rFonts w:hint="eastAsia" w:ascii="Times New Roman" w:hAnsi="Times New Roman" w:cs="Times New Roman"/>
          <w:b/>
          <w:bCs/>
          <w:i/>
          <w:iCs/>
          <w:szCs w:val="21"/>
        </w:rPr>
        <w:t>Introduction</w:t>
      </w:r>
      <w:r>
        <w:rPr>
          <w:rFonts w:ascii="Times New Roman" w:hAnsi="Times New Roman" w:cs="Times New Roman"/>
          <w:b/>
          <w:bCs/>
          <w:i/>
          <w:iCs/>
          <w:szCs w:val="21"/>
        </w:rPr>
        <w:t>.</w:t>
      </w:r>
    </w:p>
    <w:p w14:paraId="3A496ACC">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The statement about pest- and disease-related losses in China (&gt;65%) needs a citation. </w:t>
      </w:r>
    </w:p>
    <w:p w14:paraId="2D92F8E4">
      <w:pPr>
        <w:rPr>
          <w:rFonts w:hint="eastAsia"/>
        </w:rPr>
      </w:pPr>
    </w:p>
    <w:p w14:paraId="7A630210">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suggestion. The statement has been revised to include a supporting citation. The revised sentence now reads:</w:t>
      </w:r>
    </w:p>
    <w:p w14:paraId="43532BB4">
      <w:pPr>
        <w:rPr>
          <w:rFonts w:ascii="Times New Roman" w:hAnsi="Times New Roman" w:cs="Times New Roman"/>
          <w:szCs w:val="21"/>
        </w:rPr>
      </w:pPr>
      <w:r>
        <w:rPr>
          <w:rFonts w:hint="eastAsia" w:ascii="Times New Roman" w:hAnsi="Times New Roman" w:cs="Times New Roman"/>
          <w:szCs w:val="21"/>
        </w:rPr>
        <w:t>“China is the world’s largest producer of staple grains such as rice and wheat and continues to suffer recurrent impacts from these hazards; losses attributable to pests and diseases account for more than 65 percent of total losses each year (Wu et al.,2022).” Please see lines 37-40 of the manuscript for specific revisions. This citation has been added to the References section.</w:t>
      </w:r>
    </w:p>
    <w:p w14:paraId="68C07706">
      <w:pPr>
        <w:rPr>
          <w:rFonts w:hint="eastAsia"/>
        </w:rPr>
      </w:pPr>
    </w:p>
    <w:p w14:paraId="3AA30AD4">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Clarify why the Leiden algorithm was chosen over other community detection methods (e.g., Louvain)</w:t>
      </w:r>
      <w:r>
        <w:rPr>
          <w:rFonts w:ascii="Times New Roman" w:hAnsi="Times New Roman" w:cs="Times New Roman"/>
          <w:i/>
          <w:iCs/>
          <w:color w:val="156082" w:themeColor="accent1"/>
          <w:szCs w:val="21"/>
          <w14:textFill>
            <w14:solidFill>
              <w14:schemeClr w14:val="accent1"/>
            </w14:solidFill>
          </w14:textFill>
        </w:rPr>
        <w:t>.</w:t>
      </w:r>
    </w:p>
    <w:p w14:paraId="1BE34534">
      <w:pPr>
        <w:rPr>
          <w:rFonts w:ascii="Times New Roman" w:hAnsi="Times New Roman" w:cs="Times New Roman"/>
          <w:color w:val="156082" w:themeColor="accent1"/>
          <w:szCs w:val="21"/>
          <w14:textFill>
            <w14:solidFill>
              <w14:schemeClr w14:val="accent1"/>
            </w14:solidFill>
          </w14:textFill>
        </w:rPr>
      </w:pPr>
    </w:p>
    <w:p w14:paraId="78E29BBA">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Thank you for this comment. We have clarified the rationale for choosing the Leiden algorithm. The revised text now reads:</w:t>
      </w:r>
    </w:p>
    <w:p w14:paraId="287D257C">
      <w:pPr>
        <w:rPr>
          <w:rFonts w:ascii="Times New Roman" w:hAnsi="Times New Roman" w:cs="Times New Roman"/>
          <w:szCs w:val="21"/>
        </w:rPr>
      </w:pPr>
      <w:r>
        <w:rPr>
          <w:rFonts w:hint="eastAsia" w:ascii="Times New Roman" w:hAnsi="Times New Roman" w:cs="Times New Roman"/>
          <w:szCs w:val="21"/>
        </w:rPr>
        <w:t xml:space="preserve">“We further propose a novel Crop GraphRAG framework that uses domain-specific prompting for entity and relation extraction, eliciting structured outputs from large language models. During graph construction, the Leiden community detection algorithm (Park et al., 2023) was selected rather than Louvain because it guarantees internally well-connected communities, achieves higher partition quality and stability, and exhibits faster convergence with better scalability on large networks—properties required by our large, semantically weighted graph. Communities were then used to aggregate semantically related text chunks and to establish a multi-level hierarchy, and concise community-level summaries were generated for each entity and relation.” </w:t>
      </w:r>
      <w:bookmarkStart w:id="0" w:name="_Hlk213162827"/>
      <w:r>
        <w:rPr>
          <w:rFonts w:hint="eastAsia" w:ascii="Times New Roman" w:hAnsi="Times New Roman" w:cs="Times New Roman"/>
          <w:szCs w:val="21"/>
        </w:rPr>
        <w:t>Please see lines 82-92 of the manuscript for specific revisions.</w:t>
      </w:r>
      <w:bookmarkEnd w:id="0"/>
    </w:p>
    <w:p w14:paraId="6413C3B6">
      <w:pPr>
        <w:rPr>
          <w:rFonts w:ascii="Times New Roman" w:hAnsi="Times New Roman" w:cs="Times New Roman"/>
          <w:szCs w:val="21"/>
        </w:rPr>
      </w:pPr>
      <w:r>
        <w:rPr>
          <w:rFonts w:hint="eastAsia" w:ascii="Times New Roman" w:hAnsi="Times New Roman" w:cs="Times New Roman"/>
          <w:szCs w:val="21"/>
        </w:rPr>
        <w:t>This addition clarifies the algorithmic advantages of Leiden and justifies its selection in the context of large, semantically complex graphs.</w:t>
      </w:r>
    </w:p>
    <w:p w14:paraId="654809C3">
      <w:pPr>
        <w:rPr>
          <w:rFonts w:ascii="Times New Roman" w:hAnsi="Times New Roman" w:cs="Times New Roman"/>
          <w:szCs w:val="21"/>
        </w:rPr>
      </w:pPr>
    </w:p>
    <w:p w14:paraId="17AB6638">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4</w:t>
      </w:r>
      <w:r>
        <w:rPr>
          <w:rFonts w:ascii="Times New Roman" w:hAnsi="Times New Roman" w:cs="Times New Roman"/>
          <w:b/>
          <w:bCs/>
          <w:i/>
          <w:iCs/>
          <w:szCs w:val="21"/>
        </w:rPr>
        <w:t xml:space="preserve">: </w:t>
      </w:r>
      <w:r>
        <w:rPr>
          <w:rFonts w:hint="eastAsia" w:ascii="Times New Roman" w:hAnsi="Times New Roman" w:cs="Times New Roman"/>
          <w:b/>
          <w:bCs/>
          <w:i/>
          <w:iCs/>
          <w:szCs w:val="21"/>
        </w:rPr>
        <w:t>Methods</w:t>
      </w:r>
      <w:r>
        <w:rPr>
          <w:rFonts w:ascii="Times New Roman" w:hAnsi="Times New Roman" w:cs="Times New Roman"/>
          <w:b/>
          <w:bCs/>
          <w:i/>
          <w:iCs/>
          <w:szCs w:val="21"/>
        </w:rPr>
        <w:t>.</w:t>
      </w:r>
    </w:p>
    <w:p w14:paraId="257D26CC">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Section 2.1.1: The text segmentation formulas are clear, but a brief explanation of why S=1200S=1200 and O=200O=200 were chosen would be helpful. </w:t>
      </w:r>
    </w:p>
    <w:p w14:paraId="4D461947">
      <w:pPr>
        <w:rPr>
          <w:rFonts w:hint="eastAsia"/>
        </w:rPr>
      </w:pPr>
    </w:p>
    <w:p w14:paraId="1544A957">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insightful question regarding the choice of segmentation and overlap parameters. In large-scale language model processing, the segmentation strategy directly affects the trade-off between computational efficiency and semantic integrity. To address this, we conducted both theoretical consideration and empirical analysis to determine suitable parameters.</w:t>
      </w:r>
    </w:p>
    <w:p w14:paraId="06211B57">
      <w:pPr>
        <w:rPr>
          <w:rFonts w:ascii="Times New Roman" w:hAnsi="Times New Roman" w:cs="Times New Roman"/>
          <w:szCs w:val="21"/>
        </w:rPr>
      </w:pPr>
      <w:r>
        <w:rPr>
          <w:rFonts w:hint="eastAsia" w:ascii="Times New Roman" w:hAnsi="Times New Roman" w:cs="Times New Roman"/>
          <w:szCs w:val="21"/>
        </w:rPr>
        <w:t>Specifically, the segment size was set to ( S = 1200 ) tokens. This value was optimized according to the embedding model’s maximum context length, ensuring that each segment remains well within the model’s limit while allowing sufficient margin for parallel batch processing. A smaller segment size would lead to excessive fragmentation and loss of inter-sentence context, while a much larger one could cause topic drift and unnecessary computational overhead. The chosen value thus represents a balance between semantic cohesion and processing efficiency.</w:t>
      </w:r>
    </w:p>
    <w:p w14:paraId="3F229CF1">
      <w:pPr>
        <w:rPr>
          <w:rFonts w:ascii="Times New Roman" w:hAnsi="Times New Roman" w:cs="Times New Roman"/>
          <w:szCs w:val="21"/>
        </w:rPr>
      </w:pPr>
      <w:r>
        <w:rPr>
          <w:rFonts w:hint="eastAsia" w:ascii="Times New Roman" w:hAnsi="Times New Roman" w:cs="Times New Roman"/>
          <w:szCs w:val="21"/>
        </w:rPr>
        <w:t>In addition, we adopted an overlap of ( O = 200 ) tokens between adjacent segments. This overlap serves to preserve continuity across segment boundaries—particularly important for capturing entities and relations that span multiple sentences. Based on corpus statistics, the average sentence length in our dataset was approximately 60–80 characters, meaning the 200-token overlap typically covers two to three complete sentences. This design ensures that critical semantic units are retained across segments, enhancing the stability of downstream entity-relation extraction. Please see lines 123-132 of the manuscript for specific revisions.</w:t>
      </w:r>
    </w:p>
    <w:p w14:paraId="2DEB9634">
      <w:pPr>
        <w:rPr>
          <w:rFonts w:hint="eastAsia"/>
        </w:rPr>
      </w:pPr>
    </w:p>
    <w:p w14:paraId="41EE1BC3">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Section 2.1.2: The entity/relation extraction process is well-described, but the prompt engineering details are vague. Consider including an example prompt in the supplementary material.</w:t>
      </w:r>
    </w:p>
    <w:p w14:paraId="66ABDDA1">
      <w:pPr>
        <w:rPr>
          <w:rFonts w:ascii="Times New Roman" w:hAnsi="Times New Roman" w:cs="Times New Roman"/>
          <w:color w:val="156082" w:themeColor="accent1"/>
          <w:szCs w:val="21"/>
          <w14:textFill>
            <w14:solidFill>
              <w14:schemeClr w14:val="accent1"/>
            </w14:solidFill>
          </w14:textFill>
        </w:rPr>
      </w:pPr>
    </w:p>
    <w:p w14:paraId="6A6268DD">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this valuable suggestion. The original text provided an overview of the entity–relation extraction workflow but omitted a concrete example for space considerations. In the revised manuscript, we now explicitly describe the structure and logic of the prompts used for entity and relation extraction and have added an example prompt in the supplementary material. This prompt demonstrates how domain-specific entity types (e.g., crop, disease, pest, symptom, and control measure) and exemplar question–answer templates are integrated to guide the large language model’s reasoning process. Including this example improves reproducibility and transparency, allowing readers to understand how domain-specific prompting ensures that the model outputs structured triples of entities and relations rather than unstructured text. Please see lines 168-177 of the manuscript for specific revisions.</w:t>
      </w:r>
    </w:p>
    <w:p w14:paraId="5C5DDE65">
      <w:pPr>
        <w:rPr>
          <w:rFonts w:ascii="Times New Roman" w:hAnsi="Times New Roman" w:cs="Times New Roman"/>
          <w:szCs w:val="21"/>
        </w:rPr>
      </w:pPr>
    </w:p>
    <w:p w14:paraId="1829A90D">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The use of cosine similarity for entity retrieval is standard, but justify why it was referred over other similarity measures (e.g., Euclidean distance, dot product).</w:t>
      </w:r>
    </w:p>
    <w:p w14:paraId="114721D4">
      <w:pPr>
        <w:rPr>
          <w:rFonts w:ascii="Times New Roman" w:hAnsi="Times New Roman" w:cs="Times New Roman"/>
          <w:i/>
          <w:iCs/>
          <w:color w:val="156082" w:themeColor="accent1"/>
          <w:szCs w:val="21"/>
          <w14:textFill>
            <w14:solidFill>
              <w14:schemeClr w14:val="accent1"/>
            </w14:solidFill>
          </w14:textFill>
        </w:rPr>
      </w:pPr>
    </w:p>
    <w:p w14:paraId="70E98E24">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observation. The revised version includes a clear justification for the selection of cosine similarity. In our domain setting, embedding vectors derived from large language models often differ in scale, as the embedding magnitude can vary depending on text length or syntactic complexity. Cosine similarity, being scale-invariant, measures only the angular distance between vectors and thus provides a more robust indicator of semantic alignment. Compared with Euclidean distance, which is sensitive to vector magnitude, cosine similarity avoids bias introduced by length variation across entities. Likewise, unlike the raw dot product, cosine similarity normalizes both vectors to unit length, ensuring that similarity reflects semantic proximity rather than embedding norms. These properties make cosine similarity more suitable for stable and interpretable entity retrieval in large, heterogeneous semantic graphs, as verified in recent embedding-space analyses. Please see lines 301-304 of the manuscript for specific revisions.</w:t>
      </w:r>
    </w:p>
    <w:p w14:paraId="4AFEE9E6">
      <w:pPr>
        <w:rPr>
          <w:rFonts w:ascii="Times New Roman" w:hAnsi="Times New Roman" w:cs="Times New Roman"/>
          <w:i/>
          <w:iCs/>
          <w:color w:val="156082" w:themeColor="accent1"/>
          <w:szCs w:val="21"/>
          <w14:textFill>
            <w14:solidFill>
              <w14:schemeClr w14:val="accent1"/>
            </w14:solidFill>
          </w14:textFill>
        </w:rPr>
      </w:pPr>
    </w:p>
    <w:p w14:paraId="305FE8E8">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The threshold θ=3θ=3 for community pruning seems arbitrary. Provide a rationale or sensitivity analysis</w:t>
      </w:r>
      <w:r>
        <w:rPr>
          <w:rFonts w:ascii="Times New Roman" w:hAnsi="Times New Roman" w:cs="Times New Roman"/>
          <w:i/>
          <w:iCs/>
          <w:color w:val="156082" w:themeColor="accent1"/>
          <w:szCs w:val="21"/>
          <w14:textFill>
            <w14:solidFill>
              <w14:schemeClr w14:val="accent1"/>
            </w14:solidFill>
          </w14:textFill>
        </w:rPr>
        <w:t>.</w:t>
      </w:r>
    </w:p>
    <w:p w14:paraId="6A76E9A4">
      <w:pPr>
        <w:rPr>
          <w:rFonts w:hint="eastAsia"/>
        </w:rPr>
      </w:pPr>
    </w:p>
    <w:p w14:paraId="6EEE1EDA">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 xml:space="preserve">We agree that clarification is necessary. The revised text now provides both theoretical and empirical justification for setting the pruning threshold to θ = 3. Specifically, during global querying, the model assigns a discrete relevance score (0–5) to each community based on the similarity between its summary and the user query. We conducted sensitivity tests using multiple thresholds (θ = 2, 3, 4) to balance recall and efficiency. Setting θ = 3 was found to retain all communities with high relevance (scores ≥3), ensuring 100% recall of core-relevant content, while filtering out 76% of weakly related communities (scores 0–2). This trade-off minimizes computational cost while maintaining comprehensive coverage. The choice also aligns with the expected-risk minimization principle in Bayesian decision theory (McNamara &amp; Chen, 2022), representing an optimal operating point under domain-specific certainty requirements. These results and supporting analysis are now summarized in the revised Section 2.2.2. </w:t>
      </w:r>
      <w:bookmarkStart w:id="1" w:name="OLE_LINK14"/>
      <w:r>
        <w:rPr>
          <w:rFonts w:hint="eastAsia" w:ascii="Times New Roman" w:hAnsi="Times New Roman" w:cs="Times New Roman"/>
          <w:szCs w:val="21"/>
        </w:rPr>
        <w:t>Please see lines 342-348 of the manuscript for specific revisions.</w:t>
      </w:r>
    </w:p>
    <w:bookmarkEnd w:id="1"/>
    <w:p w14:paraId="40228F13">
      <w:pPr>
        <w:rPr>
          <w:rFonts w:hint="eastAsia"/>
        </w:rPr>
      </w:pPr>
    </w:p>
    <w:p w14:paraId="08D7ABBD">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5</w:t>
      </w:r>
      <w:r>
        <w:rPr>
          <w:rFonts w:ascii="Times New Roman" w:hAnsi="Times New Roman" w:cs="Times New Roman"/>
          <w:b/>
          <w:bCs/>
          <w:i/>
          <w:iCs/>
          <w:szCs w:val="21"/>
        </w:rPr>
        <w:t xml:space="preserve">: </w:t>
      </w:r>
      <w:r>
        <w:rPr>
          <w:rFonts w:hint="eastAsia" w:ascii="Times New Roman" w:hAnsi="Times New Roman" w:cs="Times New Roman"/>
          <w:b/>
          <w:bCs/>
          <w:i/>
          <w:iCs/>
          <w:szCs w:val="21"/>
        </w:rPr>
        <w:t>Experiments</w:t>
      </w:r>
      <w:r>
        <w:rPr>
          <w:rFonts w:ascii="Times New Roman" w:hAnsi="Times New Roman" w:cs="Times New Roman"/>
          <w:b/>
          <w:bCs/>
          <w:i/>
          <w:iCs/>
          <w:szCs w:val="21"/>
        </w:rPr>
        <w:t>.</w:t>
      </w:r>
    </w:p>
    <w:p w14:paraId="54E43159">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Section 3.1: The dataset description is good, but include more statistics (e.g., distribution of entity types, relation types). </w:t>
      </w:r>
    </w:p>
    <w:p w14:paraId="51460C4E">
      <w:pPr>
        <w:rPr>
          <w:rFonts w:hint="eastAsia"/>
        </w:rPr>
      </w:pPr>
    </w:p>
    <w:p w14:paraId="0752F889">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this constructive suggestion. In the revised manuscript, Section 3.1 has been expanded to include detailed statistics describing the distribution of both entity types and relation types in the constructed knowledge graph. Specifically, we now report that the graph contains more than 20,000 entities and approximately 60,000 semantic relations extracted from the curated 6-million-character corpus. Entities are grouped into five main categories—crops (≈35%), diseases (25%), pests (20%), control measures (10%), and auxiliary entities such as environmental factors and pesticides (10%).</w:t>
      </w:r>
    </w:p>
    <w:p w14:paraId="15155E56">
      <w:pPr>
        <w:rPr>
          <w:rFonts w:ascii="Times New Roman" w:hAnsi="Times New Roman" w:cs="Times New Roman"/>
          <w:szCs w:val="21"/>
        </w:rPr>
      </w:pPr>
      <w:r>
        <w:rPr>
          <w:rFonts w:hint="eastAsia" w:ascii="Times New Roman" w:hAnsi="Times New Roman" w:cs="Times New Roman"/>
          <w:szCs w:val="21"/>
        </w:rPr>
        <w:t>In addition, we summarize the relative frequencies of the most common relation types: “disease infects crop” (≈18%), “pest damages crop” (≈15%), “control measure targets pest or disease” (≈12%), and “disease associated with environmental factor” (≈8%). These statistics have been visualized in Fig. 4 to provide a clearer picture of the dataset’s internal composition and the semantic connectivity of the knowledge graph. Please see lines 387-399 of the manuscript for specific revisions. Please see lines 388-400 of the manuscript for specific revisions.</w:t>
      </w:r>
    </w:p>
    <w:p w14:paraId="6FD0D66A">
      <w:pPr>
        <w:rPr>
          <w:rFonts w:ascii="Times New Roman" w:hAnsi="Times New Roman" w:cs="Times New Roman"/>
          <w:szCs w:val="21"/>
        </w:rPr>
      </w:pPr>
    </w:p>
    <w:p w14:paraId="39BEA428">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Section 3.3: The evaluation metrics are well-defined, but the LLM-as-judge protocol needs more detail (e.g., how inter-annotator agreement was handled). </w:t>
      </w:r>
    </w:p>
    <w:p w14:paraId="61AC71EA">
      <w:pPr>
        <w:rPr>
          <w:rFonts w:hint="eastAsia"/>
        </w:rPr>
      </w:pPr>
    </w:p>
    <w:p w14:paraId="2F9B009D">
      <w:pPr>
        <w:rPr>
          <w:rFonts w:ascii="Times New Roman" w:hAnsi="Times New Roman" w:cs="Times New Roman"/>
          <w:szCs w:val="21"/>
        </w:rPr>
      </w:pPr>
      <w:bookmarkStart w:id="2" w:name="OLE_LINK4"/>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pointing out the need for additional clarification regarding the LLM-as-judge evaluation procedure. In the revised manuscript, Section 3.3 has been expanded to provide a more comprehensive description of the evaluation protocol, including details on inter-annotator agreement, score aggregation, and bias control.</w:t>
      </w:r>
    </w:p>
    <w:p w14:paraId="6873625F">
      <w:pPr>
        <w:rPr>
          <w:rFonts w:ascii="Times New Roman" w:hAnsi="Times New Roman" w:cs="Times New Roman"/>
          <w:szCs w:val="21"/>
        </w:rPr>
      </w:pPr>
      <w:r>
        <w:rPr>
          <w:rFonts w:hint="eastAsia" w:ascii="Times New Roman" w:hAnsi="Times New Roman" w:cs="Times New Roman"/>
          <w:szCs w:val="21"/>
        </w:rPr>
        <w:t>Specifically, we now explain that three independent evaluation rounds were conducted using the LLM-as-judge framework, each with randomized question order and anonymized model identifiers (A/B/C/D) to minimize position and identity bias. For each question, the large language model assigned integer scores from 1 to 5 across four evaluation dimensions: Accuracy, Coverage, Relevance, and Traceability. To ensure robustness, ChatGPT-o3 was used as the judging model under a unified prompt template and fixed context length, thereby controlling for prompt- or length-induced variance. Please see lines 525-532 of the manuscript for specific revisions.</w:t>
      </w:r>
    </w:p>
    <w:bookmarkEnd w:id="2"/>
    <w:p w14:paraId="2D91C076">
      <w:pPr>
        <w:rPr>
          <w:rFonts w:hint="eastAsia"/>
        </w:rPr>
      </w:pPr>
    </w:p>
    <w:p w14:paraId="4B914290">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The ablation study is strong, but the comparison with baselines (e.g., BM25, naive RAG) should include statistical significance testing. </w:t>
      </w:r>
    </w:p>
    <w:p w14:paraId="1EB36408">
      <w:pPr>
        <w:rPr>
          <w:rFonts w:hint="eastAsia"/>
        </w:rPr>
      </w:pPr>
    </w:p>
    <w:p w14:paraId="631158F3">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valuable suggestion to include statistical significance testing in the comparison with baseline methods. In response, we have expanded Section 3.6 to incorporate formal statistical analyses that assess whether the observed improvements of our model over the baselines are statistically significant rather than due to random variation.</w:t>
      </w:r>
    </w:p>
    <w:p w14:paraId="2B8E5E83">
      <w:pPr>
        <w:rPr>
          <w:rFonts w:ascii="Times New Roman" w:hAnsi="Times New Roman" w:cs="Times New Roman"/>
          <w:szCs w:val="21"/>
        </w:rPr>
      </w:pPr>
      <w:r>
        <w:rPr>
          <w:rFonts w:hint="eastAsia" w:ascii="Times New Roman" w:hAnsi="Times New Roman" w:cs="Times New Roman"/>
          <w:szCs w:val="21"/>
        </w:rPr>
        <w:t>Specifically, we conducted paired t-tests and Wilcoxon signed-rank tests on the four key evaluation dimensions—Accuracy, Coverage, Relevance, and Traceability—comparing the Crop GraphRAG framework against BM25+LLM, Naive RAG, and DeepSeek-R1. Both tests were performed on identical evaluation samples across five randomized scoring replications (n = 5) under the LLM-as-judge protocol described in Section 3.3. The significance level was set to α = 0.05, following standard practice in information retrieval and QA evaluation.</w:t>
      </w:r>
    </w:p>
    <w:p w14:paraId="0FCC8137">
      <w:pPr>
        <w:rPr>
          <w:rFonts w:ascii="Times New Roman" w:hAnsi="Times New Roman" w:cs="Times New Roman"/>
          <w:szCs w:val="21"/>
        </w:rPr>
      </w:pPr>
      <w:r>
        <w:rPr>
          <w:rFonts w:hint="eastAsia" w:ascii="Times New Roman" w:hAnsi="Times New Roman" w:cs="Times New Roman"/>
          <w:szCs w:val="21"/>
        </w:rPr>
        <w:t>The results, summarized in Table 5 of the revised manuscript, show that Crop GraphRAG achieves statistically significant improvements (p &lt; 0.05) over all baselines across all four evaluation dimensions. Figure 7 further visualizes the comparative results with 95% confidence intervals and significance markers (*p &lt; 0.05, *p &lt; 0.01). These analyses confirm that the performance gains observed in accuracy and traceability are both robust and statistically meaningful. Please see lines 533-560 of the manuscript for specific revisions.</w:t>
      </w:r>
    </w:p>
    <w:p w14:paraId="3385C23E">
      <w:pPr>
        <w:rPr>
          <w:rFonts w:hint="eastAsia"/>
        </w:rPr>
      </w:pPr>
    </w:p>
    <w:p w14:paraId="2D79A542">
      <w:pPr>
        <w:rPr>
          <w:rFonts w:hint="eastAsia"/>
          <w:color w:val="156082" w:themeColor="accent1"/>
          <w:sz w:val="16"/>
          <w:szCs w:val="18"/>
          <w14:textFill>
            <w14:solidFill>
              <w14:schemeClr w14:val="accent1"/>
            </w14:solidFill>
          </w14:textFill>
        </w:rPr>
      </w:pPr>
      <w:bookmarkStart w:id="3" w:name="OLE_LINK6"/>
      <w:r>
        <w:rPr>
          <w:rFonts w:hint="eastAsia" w:ascii="Times New Roman" w:hAnsi="Times New Roman" w:cs="Times New Roman"/>
          <w:i/>
          <w:iCs/>
          <w:color w:val="156082" w:themeColor="accent1"/>
          <w:szCs w:val="21"/>
          <w14:textFill>
            <w14:solidFill>
              <w14:schemeClr w14:val="accent1"/>
            </w14:solidFill>
          </w14:textFill>
        </w:rPr>
        <w:t xml:space="preserve">The use of BLEU for QA evaluation is unconventional. Consider adding domain-specific metrics (e.g., F1 for entity recognition, accuracy for fact verification). </w:t>
      </w:r>
    </w:p>
    <w:bookmarkEnd w:id="3"/>
    <w:p w14:paraId="2EC59B8F">
      <w:pPr>
        <w:rPr>
          <w:rFonts w:hint="eastAsia"/>
        </w:rPr>
      </w:pPr>
    </w:p>
    <w:p w14:paraId="6DED9AD5">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this insightful comment. We agree that BLEU, while widely used in natural language generation tasks, is not always sufficient to capture factual correctness or entity-level precision in specialized domains such as crop pest and disease question answering. In response, we have revised Section 3.3 to incorporate domain-specific evaluation metrics that better reflect factual and semantic accuracy.</w:t>
      </w:r>
    </w:p>
    <w:p w14:paraId="4F59CE12">
      <w:pPr>
        <w:rPr>
          <w:rFonts w:ascii="Times New Roman" w:hAnsi="Times New Roman" w:cs="Times New Roman"/>
          <w:szCs w:val="21"/>
        </w:rPr>
      </w:pPr>
      <w:r>
        <w:rPr>
          <w:rFonts w:hint="eastAsia" w:ascii="Times New Roman" w:hAnsi="Times New Roman" w:cs="Times New Roman"/>
          <w:szCs w:val="21"/>
        </w:rPr>
        <w:t>In the updated version, we complement BLEU with precision, recall, and F1-score at the entity and relation levels to measure the accuracy of extracted and retrieved facts. These metrics are computed based on expert-verified reference answers compiled from authoritative agricultural sources. Specifically:</w:t>
      </w:r>
    </w:p>
    <w:p w14:paraId="43436992">
      <w:pPr>
        <w:rPr>
          <w:rFonts w:ascii="Times New Roman" w:hAnsi="Times New Roman" w:cs="Times New Roman"/>
          <w:szCs w:val="21"/>
        </w:rPr>
      </w:pPr>
      <w:r>
        <w:rPr>
          <w:rFonts w:hint="eastAsia" w:ascii="Times New Roman" w:hAnsi="Times New Roman" w:cs="Times New Roman"/>
          <w:szCs w:val="21"/>
        </w:rPr>
        <w:t>Entity-level F1 evaluates whether the entities (e.g., crop, pest, disease, control measure) mentioned in the model’s answer match those in the reference answers. Please see lines 446-453 of the manuscript for specific revisions.</w:t>
      </w:r>
    </w:p>
    <w:p w14:paraId="0C35E880">
      <w:pPr>
        <w:rPr>
          <w:rFonts w:ascii="Times New Roman" w:hAnsi="Times New Roman" w:cs="Times New Roman"/>
          <w:szCs w:val="21"/>
        </w:rPr>
      </w:pPr>
      <w:r>
        <w:rPr>
          <w:rFonts w:hint="eastAsia" w:ascii="Times New Roman" w:hAnsi="Times New Roman" w:cs="Times New Roman"/>
          <w:szCs w:val="21"/>
        </w:rPr>
        <w:t>Fact verification accuracy measures the proportion of model-generated factual statements that are verified as correct against the reference corpus and expert annotations.</w:t>
      </w:r>
    </w:p>
    <w:p w14:paraId="0B251D8B">
      <w:pPr>
        <w:rPr>
          <w:rFonts w:ascii="Times New Roman" w:hAnsi="Times New Roman" w:cs="Times New Roman"/>
          <w:szCs w:val="21"/>
        </w:rPr>
      </w:pPr>
      <w:r>
        <w:rPr>
          <w:rFonts w:hint="eastAsia" w:ascii="Times New Roman" w:hAnsi="Times New Roman" w:cs="Times New Roman"/>
          <w:szCs w:val="21"/>
        </w:rPr>
        <w:t>BLEU-4 remains included to assess linguistic fluency and lexical alignment but is now treated as a complementary metric rather than the primary measure of quality.</w:t>
      </w:r>
    </w:p>
    <w:p w14:paraId="29EB02F6">
      <w:pPr>
        <w:rPr>
          <w:rFonts w:ascii="Times New Roman" w:hAnsi="Times New Roman" w:cs="Times New Roman"/>
          <w:szCs w:val="21"/>
        </w:rPr>
      </w:pPr>
      <w:r>
        <w:rPr>
          <w:rFonts w:hint="eastAsia" w:ascii="Times New Roman" w:hAnsi="Times New Roman" w:cs="Times New Roman"/>
          <w:szCs w:val="21"/>
        </w:rPr>
        <w:t>This combined metric set allows us to evaluate both semantic precision (through entity and fact-level F1) and linguistic quality (through BLEU), ensuring a more balanced and domain-relevant assessment. We have updated Table 3 and accompanying text in Section 3.3 to reflect these additions and clarified the rationale for using multi-dimensional evaluation criteria that jointly assess factual correctness and expression quality. Please see lines 497-498 of the manuscript for specific revisions.</w:t>
      </w:r>
    </w:p>
    <w:p w14:paraId="37DD6A50">
      <w:pPr>
        <w:rPr>
          <w:rFonts w:ascii="Times New Roman" w:hAnsi="Times New Roman" w:cs="Times New Roman"/>
          <w:szCs w:val="21"/>
        </w:rPr>
      </w:pPr>
    </w:p>
    <w:p w14:paraId="44445BD3">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6</w:t>
      </w:r>
      <w:r>
        <w:rPr>
          <w:rFonts w:ascii="Times New Roman" w:hAnsi="Times New Roman" w:cs="Times New Roman"/>
          <w:b/>
          <w:bCs/>
          <w:i/>
          <w:iCs/>
          <w:szCs w:val="21"/>
        </w:rPr>
        <w:t xml:space="preserve">: </w:t>
      </w:r>
      <w:r>
        <w:rPr>
          <w:rFonts w:hint="eastAsia" w:ascii="Times New Roman" w:hAnsi="Times New Roman" w:cs="Times New Roman"/>
          <w:b/>
          <w:bCs/>
          <w:i/>
          <w:iCs/>
          <w:szCs w:val="21"/>
        </w:rPr>
        <w:t>Results</w:t>
      </w:r>
      <w:r>
        <w:rPr>
          <w:rFonts w:ascii="Times New Roman" w:hAnsi="Times New Roman" w:cs="Times New Roman"/>
          <w:b/>
          <w:bCs/>
          <w:i/>
          <w:iCs/>
          <w:szCs w:val="21"/>
        </w:rPr>
        <w:t>.</w:t>
      </w:r>
    </w:p>
    <w:p w14:paraId="0D83828D">
      <w:pPr>
        <w:rPr>
          <w:rFonts w:hint="eastAsia"/>
          <w:color w:val="156082" w:themeColor="accent1"/>
          <w:sz w:val="16"/>
          <w:szCs w:val="18"/>
          <w14:textFill>
            <w14:solidFill>
              <w14:schemeClr w14:val="accent1"/>
            </w14:solidFill>
          </w14:textFill>
        </w:rPr>
      </w:pPr>
      <w:bookmarkStart w:id="4" w:name="OLE_LINK7"/>
      <w:r>
        <w:rPr>
          <w:rFonts w:hint="eastAsia" w:ascii="Times New Roman" w:hAnsi="Times New Roman" w:cs="Times New Roman"/>
          <w:i/>
          <w:iCs/>
          <w:color w:val="156082" w:themeColor="accent1"/>
          <w:szCs w:val="21"/>
          <w14:textFill>
            <w14:solidFill>
              <w14:schemeClr w14:val="accent1"/>
            </w14:solidFill>
          </w14:textFill>
        </w:rPr>
        <w:t>Figure 5 (Ablation Results) is referenced but not clearly described in the text. Ensure all figures are explicitly discussed.</w:t>
      </w:r>
      <w:bookmarkEnd w:id="4"/>
      <w:r>
        <w:rPr>
          <w:rFonts w:hint="eastAsia" w:ascii="Times New Roman" w:hAnsi="Times New Roman" w:cs="Times New Roman"/>
          <w:i/>
          <w:iCs/>
          <w:color w:val="156082" w:themeColor="accent1"/>
          <w:szCs w:val="21"/>
          <w14:textFill>
            <w14:solidFill>
              <w14:schemeClr w14:val="accent1"/>
            </w14:solidFill>
          </w14:textFill>
        </w:rPr>
        <w:t xml:space="preserve"> </w:t>
      </w:r>
    </w:p>
    <w:p w14:paraId="093406FC">
      <w:pPr>
        <w:rPr>
          <w:rFonts w:hint="eastAsia"/>
        </w:rPr>
      </w:pPr>
    </w:p>
    <w:p w14:paraId="2BFCA805">
      <w:pPr>
        <w:rPr>
          <w:rFonts w:ascii="Times New Roman" w:hAnsi="Times New Roman" w:cs="Times New Roman"/>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ascii="Times New Roman" w:hAnsi="Times New Roman" w:cs="Times New Roman"/>
        </w:rPr>
        <w:t>We appreciate the reviewer’s careful observation. In the original submission, Figure 6 illustrated the comparative ablation results across four evaluation metrics (Accuracy, Recall, F1, and BLEU) and the average response time, but the textual discussion was indeed too brief. We have revised Section 3.5 to provide a fuller explanation of the figure and its implications.</w:t>
      </w:r>
    </w:p>
    <w:p w14:paraId="16C6A3AE">
      <w:pPr>
        <w:rPr>
          <w:rFonts w:ascii="Times New Roman" w:hAnsi="Times New Roman" w:cs="Times New Roman"/>
        </w:rPr>
      </w:pPr>
      <w:r>
        <w:rPr>
          <w:rFonts w:ascii="Times New Roman" w:hAnsi="Times New Roman" w:cs="Times New Roman"/>
        </w:rPr>
        <w:t>The revised text now explicitly describes the trends shown in Figure 6. It highlights that removing either the Knowledge Graph or the Community Summarization module significantly reduces model performance, confirming the complementary contributions of both components. Specifically, the figure demonstrates that removing the Knowledge Graph module lowers Accuracy and F1 scores by approximately 7–8%, while removing the Community module results in a larger drop of about 12.2 percentage points in Accuracy. These findings visually and quantitatively substantiate the role of community summaries in improving semantic retrieval and reasoning. The discussion further emphasizes that the complete Crop GraphRAG model achieves the best overall performance across all metrics, with only a modest increase in average response time.</w:t>
      </w:r>
    </w:p>
    <w:p w14:paraId="5D821836">
      <w:pPr>
        <w:rPr>
          <w:rFonts w:ascii="Times New Roman" w:hAnsi="Times New Roman" w:cs="Times New Roman"/>
        </w:rPr>
      </w:pPr>
      <w:r>
        <w:rPr>
          <w:rFonts w:ascii="Times New Roman" w:hAnsi="Times New Roman" w:cs="Times New Roman"/>
        </w:rPr>
        <w:t>By integrating this detailed narrative into the main text, each figure is now explicitly referenced and interpreted, ensuring clarity and alignment between visual data and analytical discussion. We believe this enhancement improves the readability and interpretability of the results section.</w:t>
      </w:r>
      <w:r>
        <w:rPr>
          <w:rFonts w:hint="eastAsia" w:ascii="Times New Roman" w:hAnsi="Times New Roman" w:cs="Times New Roman"/>
          <w:szCs w:val="21"/>
        </w:rPr>
        <w:t xml:space="preserve"> Please see lines 504-510 of the manuscript for specific revisions.</w:t>
      </w:r>
    </w:p>
    <w:p w14:paraId="62E7ACD4">
      <w:pPr>
        <w:rPr>
          <w:rFonts w:hint="eastAsia"/>
        </w:rPr>
      </w:pPr>
    </w:p>
    <w:p w14:paraId="6CDE195B">
      <w:pPr>
        <w:rPr>
          <w:rFonts w:hint="eastAsia"/>
        </w:rPr>
      </w:pPr>
      <w:bookmarkStart w:id="5" w:name="OLE_LINK8"/>
      <w:r>
        <w:rPr>
          <w:rFonts w:hint="eastAsia" w:ascii="Times New Roman" w:hAnsi="Times New Roman" w:cs="Times New Roman"/>
          <w:i/>
          <w:iCs/>
          <w:color w:val="156082" w:themeColor="accent1"/>
          <w:szCs w:val="21"/>
          <w14:textFill>
            <w14:solidFill>
              <w14:schemeClr w14:val="accent1"/>
            </w14:solidFill>
          </w14:textFill>
        </w:rPr>
        <w:t>Table 4 (Comparative Scoring) is informative, but include standard deviations to show variability.</w:t>
      </w:r>
    </w:p>
    <w:bookmarkEnd w:id="5"/>
    <w:p w14:paraId="1F7F97D2">
      <w:pPr>
        <w:rPr>
          <w:rFonts w:hint="eastAsia"/>
        </w:rPr>
      </w:pPr>
    </w:p>
    <w:p w14:paraId="7CF00C28">
      <w:pPr>
        <w:rPr>
          <w:rFonts w:ascii="Times New Roman" w:hAnsi="Times New Roman" w:cs="Times New Roman"/>
        </w:rPr>
      </w:pPr>
      <w:bookmarkStart w:id="6" w:name="OLE_LINK11"/>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bookmarkEnd w:id="6"/>
      <w:r>
        <w:rPr>
          <w:rFonts w:ascii="Times New Roman" w:hAnsi="Times New Roman" w:cs="Times New Roman"/>
        </w:rPr>
        <w:t>We thank the reviewer for this helpful suggestion. We have revised Table 4 in Section 3.6 to include standard deviations (±SD) for each evaluation dimension—Accuracy, Coverage, Relevance, and Traceability—to better reflect the variability and robustness of the comparative results.</w:t>
      </w:r>
    </w:p>
    <w:p w14:paraId="200F5591">
      <w:pPr>
        <w:rPr>
          <w:rFonts w:ascii="Times New Roman" w:hAnsi="Times New Roman" w:cs="Times New Roman"/>
        </w:rPr>
      </w:pPr>
      <w:r>
        <w:rPr>
          <w:rFonts w:ascii="Times New Roman" w:hAnsi="Times New Roman" w:cs="Times New Roman"/>
        </w:rPr>
        <w:t>In the updated analysis, we calculated the standard deviations across five randomized scoring replications (n = 5) conducted under the LLM-as-judge protocol with human oversight. Each replication involved randomized question order and anonymized system identifiers (A/B/C/D) to minimize systematic bias. The reported means and standard deviations were computed after averaging the three independent scoring rounds per replication, ensuring a stable estimate of score dispersion.</w:t>
      </w:r>
    </w:p>
    <w:p w14:paraId="0752590C">
      <w:pPr>
        <w:rPr>
          <w:rFonts w:ascii="Times New Roman" w:hAnsi="Times New Roman" w:cs="Times New Roman"/>
        </w:rPr>
      </w:pPr>
      <w:r>
        <w:rPr>
          <w:rFonts w:ascii="Times New Roman" w:hAnsi="Times New Roman" w:cs="Times New Roman"/>
        </w:rPr>
        <w:t>The revised Table 4 now displays the results in the format mean ± SD for each metric. For example, the Crop GraphRAG model achieved an Accuracy score of 4.81 ± 0.0</w:t>
      </w:r>
      <w:r>
        <w:rPr>
          <w:rFonts w:hint="eastAsia" w:ascii="Times New Roman" w:hAnsi="Times New Roman" w:cs="Times New Roman"/>
        </w:rPr>
        <w:t>4</w:t>
      </w:r>
      <w:r>
        <w:rPr>
          <w:rFonts w:ascii="Times New Roman" w:hAnsi="Times New Roman" w:cs="Times New Roman"/>
        </w:rPr>
        <w:t xml:space="preserve"> and a Traceability score of 4.4 ± 0.0</w:t>
      </w:r>
      <w:r>
        <w:rPr>
          <w:rFonts w:hint="eastAsia" w:ascii="Times New Roman" w:hAnsi="Times New Roman" w:cs="Times New Roman"/>
        </w:rPr>
        <w:t>5</w:t>
      </w:r>
      <w:r>
        <w:rPr>
          <w:rFonts w:ascii="Times New Roman" w:hAnsi="Times New Roman" w:cs="Times New Roman"/>
        </w:rPr>
        <w:t>, both indicating minimal inter-round variability. The relatively small deviations across all systems confirm the consistency of the evaluation process and strengthen the statistical reliability of our comparative findings.</w:t>
      </w:r>
    </w:p>
    <w:p w14:paraId="7D2ECBC4">
      <w:pPr>
        <w:rPr>
          <w:rFonts w:ascii="Times New Roman" w:hAnsi="Times New Roman" w:cs="Times New Roman"/>
        </w:rPr>
      </w:pPr>
      <w:r>
        <w:rPr>
          <w:rFonts w:ascii="Times New Roman" w:hAnsi="Times New Roman" w:cs="Times New Roman"/>
        </w:rPr>
        <w:t>We also added a brief discussion in the text following Table 4, explaining that the inclusion of standard deviations allows readers to gauge score stability across evaluation rounds and complements the significance testing results summarized in Table 5. These additions enhance the transparency and statistical rigor of our comparative analysis.</w:t>
      </w:r>
      <w:r>
        <w:rPr>
          <w:rFonts w:hint="eastAsia" w:ascii="Times New Roman" w:hAnsi="Times New Roman" w:cs="Times New Roman"/>
          <w:szCs w:val="21"/>
        </w:rPr>
        <w:t xml:space="preserve"> Please see lines 533-534 of the manuscript for specific revisions.</w:t>
      </w:r>
    </w:p>
    <w:p w14:paraId="074C1711">
      <w:pPr>
        <w:rPr>
          <w:rFonts w:ascii="Times New Roman" w:hAnsi="Times New Roman" w:cs="Times New Roman"/>
        </w:rPr>
      </w:pPr>
    </w:p>
    <w:p w14:paraId="0D1D9A35">
      <w:pPr>
        <w:rPr>
          <w:rFonts w:hint="eastAsia"/>
        </w:rPr>
      </w:pPr>
      <w:bookmarkStart w:id="7" w:name="OLE_LINK10"/>
      <w:r>
        <w:rPr>
          <w:rFonts w:hint="eastAsia" w:ascii="Times New Roman" w:hAnsi="Times New Roman" w:cs="Times New Roman"/>
          <w:i/>
          <w:iCs/>
          <w:color w:val="156082" w:themeColor="accent1"/>
          <w:szCs w:val="21"/>
          <w14:textFill>
            <w14:solidFill>
              <w14:schemeClr w14:val="accent1"/>
            </w14:solidFill>
          </w14:textFill>
        </w:rPr>
        <w:t>The superiority of Crop GraphRAG is clear, but discuss potential limitations (e.g., performance on rare entities, scalability).</w:t>
      </w:r>
    </w:p>
    <w:bookmarkEnd w:id="7"/>
    <w:p w14:paraId="43B18B1E">
      <w:pPr>
        <w:rPr>
          <w:rFonts w:hint="eastAsia"/>
        </w:rPr>
      </w:pPr>
    </w:p>
    <w:p w14:paraId="0D32C9A8">
      <w:pPr>
        <w:rPr>
          <w:rFonts w:ascii="Times New Roman" w:hAnsi="Times New Roman" w:cs="Times New Roman"/>
        </w:rPr>
      </w:pPr>
      <w:bookmarkStart w:id="8" w:name="OLE_LINK13"/>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ascii="Times New Roman" w:hAnsi="Times New Roman" w:cs="Times New Roman"/>
        </w:rPr>
        <w:t>We thank the reviewer for this thoughtful comment. We agree that discussing potential limitations is essential for a balanced and transparent presentation of our work. In the revised Conclusion (Section 4), we have added a detailed paragraph addressing the key limitations and potential directions for improvement.</w:t>
      </w:r>
    </w:p>
    <w:p w14:paraId="706ED7A5">
      <w:pPr>
        <w:rPr>
          <w:rFonts w:ascii="Times New Roman" w:hAnsi="Times New Roman" w:cs="Times New Roman"/>
        </w:rPr>
      </w:pPr>
      <w:r>
        <w:rPr>
          <w:rFonts w:ascii="Times New Roman" w:hAnsi="Times New Roman" w:cs="Times New Roman"/>
        </w:rPr>
        <w:t>These additions, now included in the revised conclusion, provide a balanced reflection on the framework’s strengths and limitations. They clarify that while Crop GraphRAG demonstrates clear superiority in accuracy and traceability, opportunities remain for improving its handling of rare entities and scaling performance for even larger, continuously evolving agricultural knowledge graphs.</w:t>
      </w:r>
      <w:r>
        <w:rPr>
          <w:rFonts w:hint="eastAsia" w:ascii="Times New Roman" w:hAnsi="Times New Roman" w:cs="Times New Roman"/>
          <w:szCs w:val="21"/>
        </w:rPr>
        <w:t xml:space="preserve"> Please see lines 590-601 of the manuscript for specific revisions.</w:t>
      </w:r>
    </w:p>
    <w:bookmarkEnd w:id="8"/>
    <w:p w14:paraId="6753B5D2">
      <w:pPr>
        <w:rPr>
          <w:rFonts w:hint="eastAsia"/>
        </w:rPr>
      </w:pPr>
    </w:p>
    <w:p w14:paraId="11733440">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6</w:t>
      </w:r>
      <w:r>
        <w:rPr>
          <w:rFonts w:ascii="Times New Roman" w:hAnsi="Times New Roman" w:cs="Times New Roman"/>
          <w:b/>
          <w:bCs/>
          <w:i/>
          <w:iCs/>
          <w:szCs w:val="21"/>
        </w:rPr>
        <w:t xml:space="preserve">: </w:t>
      </w:r>
      <w:r>
        <w:rPr>
          <w:rFonts w:hint="eastAsia" w:ascii="Times New Roman" w:hAnsi="Times New Roman" w:cs="Times New Roman"/>
          <w:b/>
          <w:bCs/>
          <w:i/>
          <w:iCs/>
          <w:szCs w:val="21"/>
        </w:rPr>
        <w:t>Conclusion</w:t>
      </w:r>
      <w:r>
        <w:rPr>
          <w:rFonts w:ascii="Times New Roman" w:hAnsi="Times New Roman" w:cs="Times New Roman"/>
          <w:b/>
          <w:bCs/>
          <w:i/>
          <w:iCs/>
          <w:szCs w:val="21"/>
        </w:rPr>
        <w:t>.</w:t>
      </w:r>
    </w:p>
    <w:p w14:paraId="0BA83180">
      <w:pPr>
        <w:rPr>
          <w:rFonts w:hint="eastAsia"/>
          <w:color w:val="156082" w:themeColor="accent1"/>
          <w:sz w:val="16"/>
          <w:szCs w:val="18"/>
          <w14:textFill>
            <w14:solidFill>
              <w14:schemeClr w14:val="accent1"/>
            </w14:solidFill>
          </w14:textFill>
        </w:rPr>
      </w:pPr>
      <w:bookmarkStart w:id="9" w:name="OLE_LINK12"/>
      <w:r>
        <w:rPr>
          <w:rFonts w:hint="eastAsia" w:ascii="Times New Roman" w:hAnsi="Times New Roman" w:cs="Times New Roman"/>
          <w:i/>
          <w:iCs/>
          <w:color w:val="156082" w:themeColor="accent1"/>
          <w:szCs w:val="21"/>
          <w14:textFill>
            <w14:solidFill>
              <w14:schemeClr w14:val="accent1"/>
            </w14:solidFill>
          </w14:textFill>
        </w:rPr>
        <w:t xml:space="preserve">Summarizes the contributions well. Expand the "Limitations and Future Work" section to address: Generalizability to other domains or languages. Handling of temporal data (e.g., emerging pests/diseases). Integration with real-time data sources. </w:t>
      </w:r>
    </w:p>
    <w:bookmarkEnd w:id="9"/>
    <w:p w14:paraId="4E7FC275">
      <w:pPr>
        <w:rPr>
          <w:rFonts w:hint="eastAsia"/>
        </w:rPr>
      </w:pPr>
    </w:p>
    <w:p w14:paraId="1653DCDF">
      <w:pPr>
        <w:rPr>
          <w:rFonts w:ascii="Times New Roman" w:hAnsi="Times New Roman" w:cs="Times New Roman"/>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rPr>
        <w:t>We thank the reviewer for this excellent and forward-looking suggestion. In the revised manuscript, the “Limitations and Future Work” section within Section 4 (Conclusion) has been expanded to include three new aspects: domain generalizability, temporal data handling, and real-time data integration</w:t>
      </w:r>
      <w:r>
        <w:rPr>
          <w:rFonts w:ascii="Times New Roman" w:hAnsi="Times New Roman" w:cs="Times New Roman"/>
        </w:rPr>
        <w:t>.</w:t>
      </w:r>
      <w:r>
        <w:rPr>
          <w:rFonts w:hint="eastAsia" w:ascii="Times New Roman" w:hAnsi="Times New Roman" w:cs="Times New Roman"/>
          <w:szCs w:val="21"/>
        </w:rPr>
        <w:t xml:space="preserve"> Please see lines 590-601 of the manuscript for specific revisions.</w:t>
      </w:r>
    </w:p>
    <w:p w14:paraId="0B77FBE3">
      <w:pPr>
        <w:widowControl/>
        <w:spacing w:after="160" w:line="278" w:lineRule="auto"/>
        <w:jc w:val="left"/>
        <w:rPr>
          <w:rFonts w:hint="eastAsia"/>
        </w:rPr>
      </w:pPr>
      <w:r>
        <w:rPr>
          <w:rFonts w:hint="eastAsia"/>
        </w:rPr>
        <w:br w:type="page"/>
      </w:r>
    </w:p>
    <w:p w14:paraId="720E0AC6">
      <w:pPr>
        <w:rPr>
          <w:rFonts w:ascii="Times New Roman" w:hAnsi="Times New Roman" w:cs="Times New Roman"/>
          <w:b/>
          <w:bCs/>
        </w:rPr>
      </w:pPr>
      <w:r>
        <w:rPr>
          <w:rFonts w:ascii="Times New Roman" w:hAnsi="Times New Roman" w:cs="Times New Roman"/>
          <w:b/>
          <w:bCs/>
        </w:rPr>
        <w:t xml:space="preserve">Response to Reviewer </w:t>
      </w:r>
      <w:r>
        <w:rPr>
          <w:rFonts w:hint="eastAsia" w:ascii="Times New Roman" w:hAnsi="Times New Roman" w:cs="Times New Roman"/>
          <w:b/>
          <w:bCs/>
        </w:rPr>
        <w:t>2</w:t>
      </w:r>
      <w:r>
        <w:rPr>
          <w:rFonts w:ascii="Times New Roman" w:hAnsi="Times New Roman" w:cs="Times New Roman"/>
          <w:b/>
          <w:bCs/>
        </w:rPr>
        <w:t>:</w:t>
      </w:r>
    </w:p>
    <w:p w14:paraId="1FC037CE">
      <w:pPr>
        <w:rPr>
          <w:rFonts w:ascii="Times New Roman" w:hAnsi="Times New Roman" w:cs="Times New Roman"/>
        </w:rPr>
      </w:pPr>
    </w:p>
    <w:p w14:paraId="2C29A6A4">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omment 1: Summary.</w:t>
      </w:r>
    </w:p>
    <w:p w14:paraId="54EA9C05">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The authors of the manuscript "Crop GraphRAG:Crop Pest and Disease Knowledge Base Q&amp;A". This study is of great interest regarding the application of the novel Crop GraphRAG to pest and disease management, addressing the need for accurate agricultural information available to the public. However, several aspects require further clarification before publication</w:t>
      </w:r>
      <w:r>
        <w:rPr>
          <w:rFonts w:ascii="Times New Roman" w:hAnsi="Times New Roman" w:cs="Times New Roman"/>
          <w:i/>
          <w:iCs/>
          <w:color w:val="156082" w:themeColor="accent1"/>
          <w:szCs w:val="21"/>
          <w14:textFill>
            <w14:solidFill>
              <w14:schemeClr w14:val="accent1"/>
            </w14:solidFill>
          </w14:textFill>
        </w:rPr>
        <w:t>.</w:t>
      </w:r>
      <w:r>
        <w:rPr>
          <w:color w:val="156082" w:themeColor="accent1"/>
          <w:sz w:val="16"/>
          <w:szCs w:val="18"/>
          <w14:textFill>
            <w14:solidFill>
              <w14:schemeClr w14:val="accent1"/>
            </w14:solidFill>
          </w14:textFill>
        </w:rPr>
        <w:t xml:space="preserve"> </w:t>
      </w:r>
    </w:p>
    <w:p w14:paraId="47705FBB">
      <w:pPr>
        <w:ind w:firstLine="420"/>
        <w:rPr>
          <w:rFonts w:hint="eastAsia"/>
          <w:color w:val="156082" w:themeColor="accent1"/>
          <w:sz w:val="16"/>
          <w:szCs w:val="18"/>
          <w14:textFill>
            <w14:solidFill>
              <w14:schemeClr w14:val="accent1"/>
            </w14:solidFill>
          </w14:textFill>
        </w:rPr>
      </w:pPr>
    </w:p>
    <w:p w14:paraId="3D1562B3">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w:t>
      </w:r>
      <w:r>
        <w:rPr>
          <w:rFonts w:ascii="Times New Roman" w:hAnsi="Times New Roman" w:cs="Times New Roman"/>
          <w:szCs w:val="21"/>
        </w:rPr>
        <w:t xml:space="preserve">e would like to thank Reviewer </w:t>
      </w:r>
      <w:r>
        <w:rPr>
          <w:rFonts w:hint="eastAsia" w:ascii="Times New Roman" w:hAnsi="Times New Roman" w:cs="Times New Roman"/>
          <w:szCs w:val="21"/>
        </w:rPr>
        <w:t>2</w:t>
      </w:r>
      <w:r>
        <w:rPr>
          <w:rFonts w:ascii="Times New Roman" w:hAnsi="Times New Roman" w:cs="Times New Roman"/>
          <w:szCs w:val="21"/>
        </w:rPr>
        <w:t xml:space="preserve"> for your interest in our work. We are very grateful for your meticulous reading and positive feedback on our manuscript, which is very helpful in improving the paper, including writing, referencing and multi-stage exploration. We have completely revised the manuscript, making essential effort to address and resolve all your valuable questions and concerns.</w:t>
      </w:r>
      <w:r>
        <w:rPr>
          <w:sz w:val="18"/>
          <w:szCs w:val="20"/>
        </w:rPr>
        <w:t xml:space="preserve"> </w:t>
      </w:r>
      <w:r>
        <w:rPr>
          <w:rFonts w:ascii="Times New Roman" w:hAnsi="Times New Roman" w:cs="Times New Roman"/>
          <w:szCs w:val="21"/>
        </w:rPr>
        <w:t xml:space="preserve">Comments from Reviewer 1 are in </w:t>
      </w:r>
      <w:r>
        <w:rPr>
          <w:rFonts w:ascii="Times New Roman" w:hAnsi="Times New Roman" w:cs="Times New Roman"/>
          <w:i/>
          <w:iCs/>
          <w:color w:val="156082" w:themeColor="accent1"/>
          <w:szCs w:val="21"/>
          <w14:textFill>
            <w14:solidFill>
              <w14:schemeClr w14:val="accent1"/>
            </w14:solidFill>
          </w14:textFill>
        </w:rPr>
        <w:t>italic blue typeface</w:t>
      </w:r>
      <w:r>
        <w:rPr>
          <w:rFonts w:ascii="Times New Roman" w:hAnsi="Times New Roman" w:cs="Times New Roman"/>
          <w:szCs w:val="21"/>
        </w:rPr>
        <w:t>, and our responses are in normal typeface.</w:t>
      </w:r>
    </w:p>
    <w:p w14:paraId="787837BA">
      <w:pPr>
        <w:rPr>
          <w:rFonts w:hint="eastAsia"/>
        </w:rPr>
      </w:pPr>
    </w:p>
    <w:p w14:paraId="36FEDE72">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2</w:t>
      </w:r>
      <w:r>
        <w:rPr>
          <w:rFonts w:ascii="Times New Roman" w:hAnsi="Times New Roman" w:cs="Times New Roman"/>
          <w:b/>
          <w:bCs/>
          <w:i/>
          <w:iCs/>
          <w:szCs w:val="21"/>
        </w:rPr>
        <w:t xml:space="preserve">: </w:t>
      </w:r>
      <w:r>
        <w:rPr>
          <w:rFonts w:hint="eastAsia" w:ascii="Times New Roman" w:hAnsi="Times New Roman" w:cs="Times New Roman"/>
          <w:b/>
          <w:bCs/>
          <w:i/>
          <w:iCs/>
          <w:szCs w:val="21"/>
        </w:rPr>
        <w:t>Introduction</w:t>
      </w:r>
      <w:r>
        <w:rPr>
          <w:rFonts w:ascii="Times New Roman" w:hAnsi="Times New Roman" w:cs="Times New Roman"/>
          <w:b/>
          <w:bCs/>
          <w:i/>
          <w:iCs/>
          <w:szCs w:val="21"/>
        </w:rPr>
        <w:t>.</w:t>
      </w:r>
    </w:p>
    <w:p w14:paraId="6AA88943">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1. </w:t>
      </w:r>
      <w:bookmarkStart w:id="10" w:name="OLE_LINK1"/>
      <w:r>
        <w:rPr>
          <w:rFonts w:hint="eastAsia" w:ascii="Times New Roman" w:hAnsi="Times New Roman" w:cs="Times New Roman"/>
          <w:i/>
          <w:iCs/>
          <w:color w:val="156082" w:themeColor="accent1"/>
          <w:szCs w:val="21"/>
          <w14:textFill>
            <w14:solidFill>
              <w14:schemeClr w14:val="accent1"/>
            </w14:solidFill>
          </w14:textFill>
        </w:rPr>
        <w:t>In the Introduction and specifically in the aim of the study, the authors mention 32 major crop categories and 100 representative crops. The authors should specify the representative number of each category and whether the sample size is the same in each category</w:t>
      </w:r>
      <w:bookmarkEnd w:id="10"/>
      <w:r>
        <w:rPr>
          <w:rFonts w:hint="eastAsia" w:ascii="Times New Roman" w:hAnsi="Times New Roman" w:cs="Times New Roman"/>
          <w:i/>
          <w:iCs/>
          <w:color w:val="156082" w:themeColor="accent1"/>
          <w:szCs w:val="21"/>
          <w14:textFill>
            <w14:solidFill>
              <w14:schemeClr w14:val="accent1"/>
            </w14:solidFill>
          </w14:textFill>
        </w:rPr>
        <w:t xml:space="preserve">. </w:t>
      </w:r>
    </w:p>
    <w:p w14:paraId="5EA6C4FA">
      <w:pPr>
        <w:rPr>
          <w:rFonts w:hint="eastAsia"/>
        </w:rPr>
      </w:pPr>
    </w:p>
    <w:p w14:paraId="3EDF8B67">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raising this question. In the revised version, we have clarified the description of crop categories and representative samples in the Introduction. The current study’s knowledge base covers 28 major crop categories (including cereals, tubers, fiber crops, solanaceous crops, cucurbits, legumes, oil crops, sugar crops, and tobacco) and 96 representative crops such as wheat, rice, maize, and cotton.</w:t>
      </w:r>
    </w:p>
    <w:p w14:paraId="20F3CD6E">
      <w:pPr>
        <w:rPr>
          <w:rFonts w:ascii="Times New Roman" w:hAnsi="Times New Roman" w:cs="Times New Roman"/>
          <w:szCs w:val="21"/>
        </w:rPr>
      </w:pPr>
      <w:r>
        <w:rPr>
          <w:rFonts w:hint="eastAsia" w:ascii="Times New Roman" w:hAnsi="Times New Roman" w:cs="Times New Roman"/>
          <w:szCs w:val="21"/>
        </w:rPr>
        <w:t>We note that the number of representative crops is not uniform across categories, as it reflects the actual distribution and importance of crops in China’s agricultural system and the availability of reliable pest–disease data. To avoid potential misunderstanding, the revised text explicitly states that the sample sizes vary by category and that coverage was determined by data richness and domain relevance rather than enforcing equal representation.</w:t>
      </w:r>
    </w:p>
    <w:p w14:paraId="441CB4BA">
      <w:pPr>
        <w:rPr>
          <w:rFonts w:ascii="Times New Roman" w:hAnsi="Times New Roman" w:cs="Times New Roman"/>
          <w:szCs w:val="21"/>
        </w:rPr>
      </w:pPr>
      <w:r>
        <w:rPr>
          <w:rFonts w:hint="eastAsia" w:ascii="Times New Roman" w:hAnsi="Times New Roman" w:cs="Times New Roman"/>
          <w:szCs w:val="21"/>
        </w:rPr>
        <w:t>This clarification ensures that readers correctly interpret the dataset’s scope and composition while maintaining fidelity to the real-world distribution of agricultural data. Please see lines 77-82 of the manuscript for specific revisions.</w:t>
      </w:r>
    </w:p>
    <w:p w14:paraId="1C4E0D27">
      <w:pPr>
        <w:rPr>
          <w:rFonts w:ascii="Times New Roman" w:hAnsi="Times New Roman" w:cs="Times New Roman"/>
          <w:szCs w:val="21"/>
        </w:rPr>
      </w:pPr>
    </w:p>
    <w:p w14:paraId="795B52E0">
      <w:pPr>
        <w:rPr>
          <w:rFonts w:ascii="Times New Roman" w:hAnsi="Times New Roman" w:cs="Times New Roman"/>
          <w:b/>
          <w:bCs/>
          <w:i/>
          <w:iCs/>
          <w:szCs w:val="21"/>
        </w:rPr>
      </w:pPr>
      <w:bookmarkStart w:id="11" w:name="_Hlk213228653"/>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3</w:t>
      </w:r>
      <w:r>
        <w:rPr>
          <w:rFonts w:ascii="Times New Roman" w:hAnsi="Times New Roman" w:cs="Times New Roman"/>
          <w:b/>
          <w:bCs/>
          <w:i/>
          <w:iCs/>
          <w:szCs w:val="21"/>
        </w:rPr>
        <w:t xml:space="preserve">: </w:t>
      </w:r>
      <w:r>
        <w:rPr>
          <w:rFonts w:hint="eastAsia" w:ascii="Times New Roman" w:hAnsi="Times New Roman" w:cs="Times New Roman"/>
          <w:b/>
          <w:bCs/>
          <w:i/>
          <w:iCs/>
          <w:szCs w:val="21"/>
        </w:rPr>
        <w:t>Methods</w:t>
      </w:r>
      <w:r>
        <w:rPr>
          <w:rFonts w:ascii="Times New Roman" w:hAnsi="Times New Roman" w:cs="Times New Roman"/>
          <w:b/>
          <w:bCs/>
          <w:i/>
          <w:iCs/>
          <w:szCs w:val="21"/>
        </w:rPr>
        <w:t>.</w:t>
      </w:r>
    </w:p>
    <w:p w14:paraId="3F87670B">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2. </w:t>
      </w:r>
      <w:bookmarkStart w:id="12" w:name="OLE_LINK2"/>
      <w:r>
        <w:rPr>
          <w:rFonts w:hint="eastAsia" w:ascii="Times New Roman" w:hAnsi="Times New Roman" w:cs="Times New Roman"/>
          <w:i/>
          <w:iCs/>
          <w:color w:val="156082" w:themeColor="accent1"/>
          <w:szCs w:val="21"/>
          <w14:textFill>
            <w14:solidFill>
              <w14:schemeClr w14:val="accent1"/>
            </w14:solidFill>
          </w14:textFill>
        </w:rPr>
        <w:t>In section 2.1.1, the authors stated that "The primary data sources in this study comprise agricultural journal articles and government-issued guidelines on prevention and control". Do the authors mean research articles from agricultural research journals? If not, shouldn't the authors include them as additional information? Shouldn't the size of the imported information be larger and not state-specific? Why did the authors not include the information on the pesticide labels as a source for their data.</w:t>
      </w:r>
      <w:bookmarkEnd w:id="11"/>
      <w:bookmarkEnd w:id="12"/>
      <w:r>
        <w:rPr>
          <w:rFonts w:hint="eastAsia" w:ascii="Times New Roman" w:hAnsi="Times New Roman" w:cs="Times New Roman"/>
          <w:i/>
          <w:iCs/>
          <w:color w:val="156082" w:themeColor="accent1"/>
          <w:szCs w:val="21"/>
          <w14:textFill>
            <w14:solidFill>
              <w14:schemeClr w14:val="accent1"/>
            </w14:solidFill>
          </w14:textFill>
        </w:rPr>
        <w:t xml:space="preserve"> </w:t>
      </w:r>
    </w:p>
    <w:p w14:paraId="4888DAA7">
      <w:pPr>
        <w:rPr>
          <w:rFonts w:hint="eastAsia"/>
        </w:rPr>
      </w:pPr>
    </w:p>
    <w:p w14:paraId="45390159">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this detailed and important comment. In the revised version, we have clarified the description of the primary data sources in Section 2.1.1 to avoid potential ambiguity.</w:t>
      </w:r>
    </w:p>
    <w:p w14:paraId="36F59484">
      <w:pPr>
        <w:rPr>
          <w:rFonts w:ascii="Times New Roman" w:hAnsi="Times New Roman" w:cs="Times New Roman"/>
          <w:szCs w:val="21"/>
        </w:rPr>
      </w:pPr>
      <w:r>
        <w:rPr>
          <w:rFonts w:hint="eastAsia" w:ascii="Times New Roman" w:hAnsi="Times New Roman" w:cs="Times New Roman"/>
          <w:szCs w:val="21"/>
        </w:rPr>
        <w:t>First, the phrase “agricultural journal articles” indeed refers to research articles, reviews, and technical bulletins published in agricultural research journals. These materials were included as the first category of our data sources and form the scientific foundation of the knowledge base.</w:t>
      </w:r>
    </w:p>
    <w:p w14:paraId="064F55FC">
      <w:pPr>
        <w:rPr>
          <w:rFonts w:ascii="Times New Roman" w:hAnsi="Times New Roman" w:cs="Times New Roman"/>
          <w:szCs w:val="21"/>
        </w:rPr>
      </w:pPr>
      <w:r>
        <w:rPr>
          <w:rFonts w:hint="eastAsia" w:ascii="Times New Roman" w:hAnsi="Times New Roman" w:cs="Times New Roman"/>
          <w:szCs w:val="21"/>
        </w:rPr>
        <w:t>Second, the data are not state-specific. As described in the same section, the corpus integrates national-level prevention and control guidelines (issued by the Ministry of Agriculture and Rural Affairs and the National Agro-Tech Extension and Service Center) as well as technical bulletins from provincial and municipal plant-protection agencies, thereby ensuring broad geographic coverage and policy consistency.</w:t>
      </w:r>
    </w:p>
    <w:p w14:paraId="2CA269B5">
      <w:pPr>
        <w:rPr>
          <w:rFonts w:ascii="Times New Roman" w:hAnsi="Times New Roman" w:cs="Times New Roman"/>
          <w:szCs w:val="21"/>
        </w:rPr>
      </w:pPr>
      <w:r>
        <w:rPr>
          <w:rFonts w:hint="eastAsia" w:ascii="Times New Roman" w:hAnsi="Times New Roman" w:cs="Times New Roman"/>
          <w:szCs w:val="21"/>
        </w:rPr>
        <w:t>Third, regarding pesticide information, we confirm that publicly available key information from pesticide registrations and labels was already incorporated as the third major data source category. This inclusion allows the system to extract verified details about pesticide types, active ingredients, and recommended applications, enhancing the factual grounding of the knowledge graph.</w:t>
      </w:r>
    </w:p>
    <w:p w14:paraId="6DBE1154">
      <w:pPr>
        <w:rPr>
          <w:rFonts w:ascii="Times New Roman" w:hAnsi="Times New Roman" w:cs="Times New Roman"/>
          <w:szCs w:val="21"/>
        </w:rPr>
      </w:pPr>
      <w:r>
        <w:rPr>
          <w:rFonts w:hint="eastAsia" w:ascii="Times New Roman" w:hAnsi="Times New Roman" w:cs="Times New Roman"/>
          <w:szCs w:val="21"/>
        </w:rPr>
        <w:t>To further ensure clarity, the revised section now explicitly enumerates all four data categories:</w:t>
      </w:r>
    </w:p>
    <w:p w14:paraId="2FABB5C8">
      <w:pPr>
        <w:pStyle w:val="30"/>
        <w:numPr>
          <w:ilvl w:val="0"/>
          <w:numId w:val="1"/>
        </w:numPr>
        <w:rPr>
          <w:rFonts w:ascii="Times New Roman" w:hAnsi="Times New Roman" w:cs="Times New Roman"/>
          <w:szCs w:val="21"/>
        </w:rPr>
      </w:pPr>
      <w:r>
        <w:rPr>
          <w:rFonts w:hint="eastAsia" w:ascii="Times New Roman" w:hAnsi="Times New Roman" w:cs="Times New Roman"/>
          <w:szCs w:val="21"/>
        </w:rPr>
        <w:t>Research articles, reviews, and technical bulletins from agricultural journals;</w:t>
      </w:r>
    </w:p>
    <w:p w14:paraId="696993A5">
      <w:pPr>
        <w:pStyle w:val="30"/>
        <w:numPr>
          <w:ilvl w:val="0"/>
          <w:numId w:val="1"/>
        </w:numPr>
        <w:rPr>
          <w:rFonts w:ascii="Times New Roman" w:hAnsi="Times New Roman" w:cs="Times New Roman"/>
          <w:szCs w:val="21"/>
        </w:rPr>
      </w:pPr>
      <w:r>
        <w:rPr>
          <w:rFonts w:hint="eastAsia" w:ascii="Times New Roman" w:hAnsi="Times New Roman" w:cs="Times New Roman"/>
          <w:szCs w:val="21"/>
        </w:rPr>
        <w:t>National and provincial guidelines on pest and disease prevention and control;</w:t>
      </w:r>
    </w:p>
    <w:p w14:paraId="1252008E">
      <w:pPr>
        <w:pStyle w:val="30"/>
        <w:numPr>
          <w:ilvl w:val="0"/>
          <w:numId w:val="1"/>
        </w:numPr>
        <w:rPr>
          <w:rFonts w:ascii="Times New Roman" w:hAnsi="Times New Roman" w:cs="Times New Roman"/>
          <w:szCs w:val="21"/>
        </w:rPr>
      </w:pPr>
      <w:r>
        <w:rPr>
          <w:rFonts w:hint="eastAsia" w:ascii="Times New Roman" w:hAnsi="Times New Roman" w:cs="Times New Roman"/>
          <w:szCs w:val="21"/>
        </w:rPr>
        <w:t>Publicly available pesticide registration and label data;</w:t>
      </w:r>
    </w:p>
    <w:p w14:paraId="6EEBF25E">
      <w:pPr>
        <w:pStyle w:val="30"/>
        <w:numPr>
          <w:ilvl w:val="0"/>
          <w:numId w:val="1"/>
        </w:numPr>
        <w:rPr>
          <w:rFonts w:ascii="Times New Roman" w:hAnsi="Times New Roman" w:cs="Times New Roman"/>
          <w:szCs w:val="21"/>
        </w:rPr>
      </w:pPr>
      <w:r>
        <w:rPr>
          <w:rFonts w:hint="eastAsia" w:ascii="Times New Roman" w:hAnsi="Times New Roman" w:cs="Times New Roman"/>
          <w:szCs w:val="21"/>
        </w:rPr>
        <w:t>Expert-reviewed entries from specialized agricultural knowledge platforms.</w:t>
      </w:r>
    </w:p>
    <w:p w14:paraId="6CBDF57C">
      <w:pPr>
        <w:rPr>
          <w:rFonts w:ascii="Times New Roman" w:hAnsi="Times New Roman" w:cs="Times New Roman"/>
          <w:szCs w:val="21"/>
        </w:rPr>
      </w:pPr>
      <w:r>
        <w:rPr>
          <w:rFonts w:hint="eastAsia" w:ascii="Times New Roman" w:hAnsi="Times New Roman" w:cs="Times New Roman"/>
          <w:szCs w:val="21"/>
        </w:rPr>
        <w:t>These clarifications emphasize that our data sources are comprehensive, multi-level, and cross-regional, encompassing both scientific literature and official technical standards. The description has been refined accordingly in Section 2.1.1. Please see lines 112-118 of the manuscript for specific revisions.</w:t>
      </w:r>
    </w:p>
    <w:p w14:paraId="4E7F8145">
      <w:pPr>
        <w:rPr>
          <w:rFonts w:hint="eastAsia"/>
        </w:rPr>
      </w:pPr>
    </w:p>
    <w:p w14:paraId="0C8F0B36">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3. In 2.2.2, authors should clarify whether the Crop GraphRAG can deal with questions that have conflicting information as an answer.</w:t>
      </w:r>
    </w:p>
    <w:p w14:paraId="66ADD39B">
      <w:pPr>
        <w:rPr>
          <w:rFonts w:ascii="Times New Roman" w:hAnsi="Times New Roman" w:cs="Times New Roman"/>
          <w:color w:val="156082" w:themeColor="accent1"/>
          <w:szCs w:val="21"/>
          <w14:textFill>
            <w14:solidFill>
              <w14:schemeClr w14:val="accent1"/>
            </w14:solidFill>
          </w14:textFill>
        </w:rPr>
      </w:pPr>
    </w:p>
    <w:p w14:paraId="359BDBF8">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valuable comment. In the revised manuscript, we have clarified that Crop GraphRAG is capable of handling questions involving conflicting or inconsistent information. As described in Section 2.2.2, the global query module includes a consistency-evaluation and conflict-resolution mechanism.</w:t>
      </w:r>
    </w:p>
    <w:p w14:paraId="375279D5">
      <w:pPr>
        <w:rPr>
          <w:rFonts w:ascii="Times New Roman" w:hAnsi="Times New Roman" w:cs="Times New Roman"/>
          <w:szCs w:val="21"/>
        </w:rPr>
      </w:pPr>
      <w:r>
        <w:rPr>
          <w:rFonts w:hint="eastAsia" w:ascii="Times New Roman" w:hAnsi="Times New Roman" w:cs="Times New Roman"/>
          <w:szCs w:val="21"/>
        </w:rPr>
        <w:t>This module applies weighted consistency optimization and retrieval re-ranking to evaluate the coherence among retrieved evidence fragments. When conflicting or mutually exclusive statements are detected, the system prioritizes responses supported by high-weight, cross-source evidence while iteratively re-retrieving and rewriting low-consistency fragments. Furthermore, citation tracking and verification labels are maintained to support human-in-the-loop validation when contradictions persist.</w:t>
      </w:r>
    </w:p>
    <w:p w14:paraId="7218B7D1">
      <w:pPr>
        <w:rPr>
          <w:rFonts w:ascii="Times New Roman" w:hAnsi="Times New Roman" w:cs="Times New Roman"/>
          <w:szCs w:val="21"/>
        </w:rPr>
      </w:pPr>
      <w:r>
        <w:rPr>
          <w:rFonts w:hint="eastAsia" w:ascii="Times New Roman" w:hAnsi="Times New Roman" w:cs="Times New Roman"/>
          <w:szCs w:val="21"/>
        </w:rPr>
        <w:t>We have now made this capability more explicit in the text to ensure that readers clearly understand that Crop GraphRAG can address questions containing conflicting information by synthesizing a consistent, evidence-weighted answer rather than merely merging sources verbatim. Please see lines 360-365 of the manuscript for specific revisions.</w:t>
      </w:r>
    </w:p>
    <w:p w14:paraId="3950CC28">
      <w:pPr>
        <w:rPr>
          <w:rFonts w:ascii="Times New Roman" w:hAnsi="Times New Roman" w:cs="Times New Roman"/>
          <w:szCs w:val="21"/>
        </w:rPr>
      </w:pPr>
    </w:p>
    <w:p w14:paraId="6BB4DE7D">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Comment 3: Methods.</w:t>
      </w:r>
    </w:p>
    <w:p w14:paraId="14C857F3">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2. In section 2.1.1, the authors stated that "The primary data sources in this study comprise agricultural journal articles and government-issued guidelines on prevention and control". Do the authors mean research articles from agricultural research journals? If not, shouldn't the authors include them as additional information? Shouldn't the size of the imported information be larger and not state-specific? Why did the authors not include the information on the pesticide labels as a source for their data.</w:t>
      </w:r>
    </w:p>
    <w:p w14:paraId="64E2C68A">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observation. The revised version includes a clear justification for the selection of cosine similarity. In our domain setting, embedding vectors derived from large language models often differ in scale, as the embedding magnitude can vary depending on text length or syntactic complexity. Cosine similarity, being scale-invariant, measures only the angular distance between vectors and thus provides a more robust indicator of semantic alignment. Compared with Euclidean distance, which is sensitive to vector magnitude, cosine similarity avoids bias introduced by length variation across entities. Likewise, unlike the raw dot product, cosine similarity normalizes both vectors to unit length, ensuring that similarity reflects semantic proximity rather than embedding norms. These properties make cosine similarity more suitable for stable and interpretable entity retrieval in large, heterogeneous semantic graphs, as verified in recent embedding-space analyses. Please see lines 301-304 of the manuscript for specific revisions.</w:t>
      </w:r>
    </w:p>
    <w:p w14:paraId="6AE77DFD">
      <w:pPr>
        <w:rPr>
          <w:rFonts w:ascii="Times New Roman" w:hAnsi="Times New Roman" w:cs="Times New Roman"/>
          <w:i/>
          <w:iCs/>
          <w:color w:val="156082" w:themeColor="accent1"/>
          <w:szCs w:val="21"/>
          <w14:textFill>
            <w14:solidFill>
              <w14:schemeClr w14:val="accent1"/>
            </w14:solidFill>
          </w14:textFill>
        </w:rPr>
      </w:pPr>
    </w:p>
    <w:p w14:paraId="4DD9354A">
      <w:pPr>
        <w:rPr>
          <w:rFonts w:ascii="Times New Roman" w:hAnsi="Times New Roman" w:cs="Times New Roman"/>
          <w:i/>
          <w:iCs/>
          <w:color w:val="156082" w:themeColor="accent1"/>
          <w:szCs w:val="21"/>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3. In 2.2.2, authors should clarify whether the Crop GraphRAG can deal with questions that have conflicting information as an answer</w:t>
      </w:r>
      <w:r>
        <w:rPr>
          <w:rFonts w:ascii="Times New Roman" w:hAnsi="Times New Roman" w:cs="Times New Roman"/>
          <w:i/>
          <w:iCs/>
          <w:color w:val="156082" w:themeColor="accent1"/>
          <w:szCs w:val="21"/>
          <w14:textFill>
            <w14:solidFill>
              <w14:schemeClr w14:val="accent1"/>
            </w14:solidFill>
          </w14:textFill>
        </w:rPr>
        <w:t>.</w:t>
      </w:r>
    </w:p>
    <w:p w14:paraId="20DE44C1">
      <w:pPr>
        <w:rPr>
          <w:rFonts w:hint="eastAsia"/>
        </w:rPr>
      </w:pPr>
    </w:p>
    <w:p w14:paraId="0A007709">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valuable comment. In the revised manuscript, we have clarified that Crop GraphRAG is capable of handling questions involving conflicting or inconsistent information. As described in Section 2.2.2, the global query module includes a consistency-evaluation and conflict-resolution mechanism.</w:t>
      </w:r>
    </w:p>
    <w:p w14:paraId="4EE33C5B">
      <w:pPr>
        <w:rPr>
          <w:rFonts w:ascii="Times New Roman" w:hAnsi="Times New Roman" w:cs="Times New Roman"/>
          <w:szCs w:val="21"/>
        </w:rPr>
      </w:pPr>
      <w:r>
        <w:rPr>
          <w:rFonts w:hint="eastAsia" w:ascii="Times New Roman" w:hAnsi="Times New Roman" w:cs="Times New Roman"/>
          <w:szCs w:val="21"/>
        </w:rPr>
        <w:t>This module applies weighted consistency optimization and retrieval re-ranking to evaluate the coherence among retrieved evidence fragments. When conflicting or mutually exclusive statements are detected, the system prioritizes responses supported by high-weight, cross-source evidence while iteratively re-retrieving and rewriting low-consistency fragments. Furthermore, citation tracking and verification labels are maintained to support human-in-the-loop validation when contradictions persist.</w:t>
      </w:r>
    </w:p>
    <w:p w14:paraId="7E8F4FB6">
      <w:pPr>
        <w:rPr>
          <w:rFonts w:ascii="Times New Roman" w:hAnsi="Times New Roman" w:cs="Times New Roman"/>
          <w:szCs w:val="21"/>
        </w:rPr>
      </w:pPr>
      <w:r>
        <w:rPr>
          <w:rFonts w:hint="eastAsia" w:ascii="Times New Roman" w:hAnsi="Times New Roman" w:cs="Times New Roman"/>
          <w:szCs w:val="21"/>
        </w:rPr>
        <w:t>We have now made this capability more explicit in the text to ensure that readers clearly understand that Crop GraphRAG can address questions containing conflicting information by synthesizing a consistent, evidence-weighted answer rather than merely merging sources verbatim. Please see lines 360-365 of the manuscript for specific revisions.</w:t>
      </w:r>
    </w:p>
    <w:p w14:paraId="5AF20575">
      <w:pPr>
        <w:rPr>
          <w:rFonts w:hint="eastAsia"/>
        </w:rPr>
      </w:pPr>
    </w:p>
    <w:p w14:paraId="11C83B97">
      <w:pPr>
        <w:rPr>
          <w:rFonts w:ascii="Times New Roman" w:hAnsi="Times New Roman" w:cs="Times New Roman"/>
          <w:b/>
          <w:bCs/>
          <w:i/>
          <w:iCs/>
          <w:szCs w:val="21"/>
        </w:rPr>
      </w:pPr>
      <w:r>
        <w:rPr>
          <w:rFonts w:hint="eastAsia" w:ascii="Times New Roman" w:hAnsi="Times New Roman" w:cs="Times New Roman"/>
          <w:b/>
          <w:bCs/>
          <w:i/>
          <w:iCs/>
          <w:szCs w:val="21"/>
        </w:rPr>
        <w:t>C</w:t>
      </w:r>
      <w:r>
        <w:rPr>
          <w:rFonts w:ascii="Times New Roman" w:hAnsi="Times New Roman" w:cs="Times New Roman"/>
          <w:b/>
          <w:bCs/>
          <w:i/>
          <w:iCs/>
          <w:szCs w:val="21"/>
        </w:rPr>
        <w:t xml:space="preserve">omment </w:t>
      </w:r>
      <w:r>
        <w:rPr>
          <w:rFonts w:hint="eastAsia" w:ascii="Times New Roman" w:hAnsi="Times New Roman" w:cs="Times New Roman"/>
          <w:b/>
          <w:bCs/>
          <w:i/>
          <w:iCs/>
          <w:szCs w:val="21"/>
        </w:rPr>
        <w:t>5</w:t>
      </w:r>
      <w:r>
        <w:rPr>
          <w:rFonts w:ascii="Times New Roman" w:hAnsi="Times New Roman" w:cs="Times New Roman"/>
          <w:b/>
          <w:bCs/>
          <w:i/>
          <w:iCs/>
          <w:szCs w:val="21"/>
        </w:rPr>
        <w:t xml:space="preserve">: </w:t>
      </w:r>
      <w:r>
        <w:rPr>
          <w:rFonts w:hint="eastAsia" w:ascii="Times New Roman" w:hAnsi="Times New Roman" w:cs="Times New Roman"/>
          <w:b/>
          <w:bCs/>
          <w:i/>
          <w:iCs/>
          <w:szCs w:val="21"/>
        </w:rPr>
        <w:t>Experiments</w:t>
      </w:r>
      <w:r>
        <w:rPr>
          <w:rFonts w:ascii="Times New Roman" w:hAnsi="Times New Roman" w:cs="Times New Roman"/>
          <w:b/>
          <w:bCs/>
          <w:i/>
          <w:iCs/>
          <w:szCs w:val="21"/>
        </w:rPr>
        <w:t>.</w:t>
      </w:r>
    </w:p>
    <w:p w14:paraId="49A2BA6A">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Section 3.1: The dataset description is good, but include more statistics (e.g., distribution of entity types, relation types). </w:t>
      </w:r>
    </w:p>
    <w:p w14:paraId="02D654F2">
      <w:pPr>
        <w:rPr>
          <w:rFonts w:hint="eastAsia"/>
        </w:rPr>
      </w:pPr>
    </w:p>
    <w:p w14:paraId="7385729F">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requesting clarification on the baseline methods used for comparison in the Experiment section. In the revised manuscript, we have expanded Section 3.2 (Baselines) to explicitly define both the traditional retrieval methods and the alternative approaches.</w:t>
      </w:r>
    </w:p>
    <w:p w14:paraId="618B2C22">
      <w:pPr>
        <w:rPr>
          <w:rFonts w:ascii="Times New Roman" w:hAnsi="Times New Roman" w:cs="Times New Roman"/>
          <w:szCs w:val="21"/>
        </w:rPr>
      </w:pPr>
      <w:r>
        <w:rPr>
          <w:rFonts w:hint="eastAsia" w:ascii="Times New Roman" w:hAnsi="Times New Roman" w:cs="Times New Roman"/>
          <w:szCs w:val="21"/>
        </w:rPr>
        <w:t>The traditional retrieval methods include:</w:t>
      </w:r>
    </w:p>
    <w:p w14:paraId="3328F430">
      <w:pPr>
        <w:rPr>
          <w:rFonts w:ascii="Times New Roman" w:hAnsi="Times New Roman" w:cs="Times New Roman"/>
          <w:szCs w:val="21"/>
        </w:rPr>
      </w:pPr>
      <w:r>
        <w:rPr>
          <w:rFonts w:hint="eastAsia" w:ascii="Times New Roman" w:hAnsi="Times New Roman" w:cs="Times New Roman"/>
          <w:szCs w:val="21"/>
        </w:rPr>
        <w:t>BM25 + LLM, a keyword-based retrieval-augmented QA pipeline where BM25 performs lexical retrieval and a large language model generates answers from the retrieved passages; and</w:t>
      </w:r>
    </w:p>
    <w:p w14:paraId="452C9520">
      <w:pPr>
        <w:rPr>
          <w:rFonts w:ascii="Times New Roman" w:hAnsi="Times New Roman" w:cs="Times New Roman"/>
          <w:szCs w:val="21"/>
        </w:rPr>
      </w:pPr>
    </w:p>
    <w:p w14:paraId="5A61D599">
      <w:pPr>
        <w:rPr>
          <w:rFonts w:ascii="Times New Roman" w:hAnsi="Times New Roman" w:cs="Times New Roman"/>
          <w:szCs w:val="21"/>
        </w:rPr>
      </w:pPr>
      <w:r>
        <w:rPr>
          <w:rFonts w:hint="eastAsia" w:ascii="Times New Roman" w:hAnsi="Times New Roman" w:cs="Times New Roman"/>
          <w:szCs w:val="21"/>
        </w:rPr>
        <w:t>Standard RAG (Naive RAG), which relies solely on vector embedding retrieval (implemented via FAISS) without the use of any knowledge graph or community structure.</w:t>
      </w:r>
    </w:p>
    <w:p w14:paraId="764C3AC7">
      <w:pPr>
        <w:rPr>
          <w:rFonts w:ascii="Times New Roman" w:hAnsi="Times New Roman" w:cs="Times New Roman"/>
          <w:szCs w:val="21"/>
        </w:rPr>
      </w:pPr>
      <w:r>
        <w:rPr>
          <w:rFonts w:hint="eastAsia" w:ascii="Times New Roman" w:hAnsi="Times New Roman" w:cs="Times New Roman"/>
          <w:szCs w:val="21"/>
        </w:rPr>
        <w:t>The alternative approaches comprise:</w:t>
      </w:r>
    </w:p>
    <w:p w14:paraId="6577C938">
      <w:pPr>
        <w:rPr>
          <w:rFonts w:ascii="Times New Roman" w:hAnsi="Times New Roman" w:cs="Times New Roman"/>
          <w:szCs w:val="21"/>
        </w:rPr>
      </w:pPr>
      <w:r>
        <w:rPr>
          <w:rFonts w:hint="eastAsia" w:ascii="Times New Roman" w:hAnsi="Times New Roman" w:cs="Times New Roman"/>
          <w:szCs w:val="21"/>
        </w:rPr>
        <w:t>DeepSeek-R1, a general-purpose large language model without a local knowledge base, used to measure the benefit of domain grounding;</w:t>
      </w:r>
    </w:p>
    <w:p w14:paraId="3F6F5CF5">
      <w:pPr>
        <w:rPr>
          <w:rFonts w:ascii="Times New Roman" w:hAnsi="Times New Roman" w:cs="Times New Roman"/>
          <w:szCs w:val="21"/>
        </w:rPr>
      </w:pPr>
      <w:r>
        <w:rPr>
          <w:rFonts w:hint="eastAsia" w:ascii="Times New Roman" w:hAnsi="Times New Roman" w:cs="Times New Roman"/>
          <w:szCs w:val="21"/>
        </w:rPr>
        <w:t>GraphRAG without Community, which removes the community summarization module to test its contribution to semantic aggregation; and</w:t>
      </w:r>
    </w:p>
    <w:p w14:paraId="2E4E0742">
      <w:pPr>
        <w:rPr>
          <w:rFonts w:ascii="Times New Roman" w:hAnsi="Times New Roman" w:cs="Times New Roman"/>
          <w:szCs w:val="21"/>
        </w:rPr>
      </w:pPr>
      <w:r>
        <w:rPr>
          <w:rFonts w:hint="eastAsia" w:ascii="Times New Roman" w:hAnsi="Times New Roman" w:cs="Times New Roman"/>
          <w:szCs w:val="21"/>
        </w:rPr>
        <w:t>GraphRAG without Knowledge Graph, which omits the graph structure and uses only text-level summaries for indexing.</w:t>
      </w:r>
    </w:p>
    <w:p w14:paraId="02794A2B">
      <w:pPr>
        <w:rPr>
          <w:rFonts w:ascii="Times New Roman" w:hAnsi="Times New Roman" w:cs="Times New Roman"/>
          <w:szCs w:val="21"/>
        </w:rPr>
      </w:pPr>
      <w:r>
        <w:rPr>
          <w:rFonts w:hint="eastAsia" w:ascii="Times New Roman" w:hAnsi="Times New Roman" w:cs="Times New Roman"/>
          <w:szCs w:val="21"/>
        </w:rPr>
        <w:t>We have clarified these definitions and the rationale for their inclusion in the comparative experiments. The updated text ensures that readers can clearly distinguish between traditional retrieval-based methods and our proposed structured knowledge-based framework. Please see lines 411-427 of the manuscript for specific revisions.</w:t>
      </w:r>
    </w:p>
    <w:p w14:paraId="021F0946">
      <w:pPr>
        <w:rPr>
          <w:rFonts w:ascii="Times New Roman" w:hAnsi="Times New Roman" w:cs="Times New Roman"/>
          <w:szCs w:val="21"/>
        </w:rPr>
      </w:pPr>
    </w:p>
    <w:p w14:paraId="7BB37801">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In the 3.3 section, do the reference answers the authors mentioned, evaluated- generated by field experts?. </w:t>
      </w:r>
    </w:p>
    <w:p w14:paraId="2F0FAA55">
      <w:pPr>
        <w:rPr>
          <w:rFonts w:hint="eastAsia"/>
        </w:rPr>
      </w:pPr>
    </w:p>
    <w:p w14:paraId="07064757">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appreciate the reviewer’s careful reading and question. In Section 3.3 (Evaluation Metrics and Methods), we have clarified that the reference answers used for evaluation were not generated by models. Instead, they were manually compiled by annotators from authoritative agricultural sources—namely, peer-reviewed research articles, national and provincial pest-control guidelines, official pesticide registration and label information, and expert-reviewed professional websites.</w:t>
      </w:r>
    </w:p>
    <w:p w14:paraId="16EB7A86">
      <w:pPr>
        <w:rPr>
          <w:rFonts w:ascii="Times New Roman" w:hAnsi="Times New Roman" w:cs="Times New Roman"/>
          <w:szCs w:val="21"/>
        </w:rPr>
      </w:pPr>
      <w:r>
        <w:rPr>
          <w:rFonts w:hint="eastAsia" w:ascii="Times New Roman" w:hAnsi="Times New Roman" w:cs="Times New Roman"/>
          <w:szCs w:val="21"/>
        </w:rPr>
        <w:t>Importantly, these reference answers were verified through multiple rounds of review by field experts in crop pest and disease management to ensure factual accuracy, terminological consistency, and domain reliability. The revised text now explicitly emphasizes this expert validation process, making clear that the reference answers represent expert-curated gold-standard data rather than automatically produced model outputs. Please see lines 429-433 of the manuscript for specific revisions.</w:t>
      </w:r>
    </w:p>
    <w:p w14:paraId="62C816B5">
      <w:pPr>
        <w:rPr>
          <w:rFonts w:hint="eastAsia"/>
        </w:rPr>
      </w:pPr>
    </w:p>
    <w:p w14:paraId="311C0827">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In the 3.5 and 3.6 sections, does the Crop GraphRAG model significantly outperform the other models? </w:t>
      </w:r>
    </w:p>
    <w:p w14:paraId="1B719750">
      <w:pPr>
        <w:rPr>
          <w:rFonts w:hint="eastAsia"/>
        </w:rPr>
      </w:pPr>
    </w:p>
    <w:p w14:paraId="6FC6950D">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this question. Yes, as detailed in the revised manuscript, Crop GraphRAG significantly outperforms all baseline and ablated models across all evaluation dimensions.</w:t>
      </w:r>
    </w:p>
    <w:p w14:paraId="30510E62">
      <w:pPr>
        <w:rPr>
          <w:rFonts w:ascii="Times New Roman" w:hAnsi="Times New Roman" w:cs="Times New Roman"/>
          <w:szCs w:val="21"/>
        </w:rPr>
      </w:pPr>
      <w:r>
        <w:rPr>
          <w:rFonts w:hint="eastAsia" w:ascii="Times New Roman" w:hAnsi="Times New Roman" w:cs="Times New Roman"/>
          <w:szCs w:val="21"/>
        </w:rPr>
        <w:t>In Section 3.5 (Ablation Studies), Crop GraphRAG achieves the highest scores among all variants—Accuracy 89.4%, Recall 86.7%, F1 88.0%, and BLEU 0.68—substantially exceeding those of the standard RAG (Accuracy 72.6%, F1 70.4%, BLEU 0.41). The results confirm that integrating both the knowledge graph and community summarization modules enhances factual accuracy and semantic completeness.</w:t>
      </w:r>
    </w:p>
    <w:p w14:paraId="30A1866A">
      <w:pPr>
        <w:rPr>
          <w:rFonts w:ascii="Times New Roman" w:hAnsi="Times New Roman" w:cs="Times New Roman"/>
          <w:szCs w:val="21"/>
        </w:rPr>
      </w:pPr>
      <w:r>
        <w:rPr>
          <w:rFonts w:hint="eastAsia" w:ascii="Times New Roman" w:hAnsi="Times New Roman" w:cs="Times New Roman"/>
          <w:szCs w:val="21"/>
        </w:rPr>
        <w:t>In Section 3.6 (Comparative Experiments), Crop GraphRAG also consistently outperforms the baselines (BM25+LLM, Naive RAG, and DeepSeek-R1) with average scores of 4.81 (Accuracy), 4.3 (Coverage), 4.5 (Relevance), and 4.4 (Traceability). Moreover, the improvements were validated through paired t-tests and Wilcoxon signed-rank tests, all yielding p &lt; 0.05, confirming statistical significance across all metrics.</w:t>
      </w:r>
    </w:p>
    <w:p w14:paraId="3FAE6EEB">
      <w:pPr>
        <w:rPr>
          <w:rFonts w:ascii="Times New Roman" w:hAnsi="Times New Roman" w:cs="Times New Roman"/>
          <w:szCs w:val="21"/>
        </w:rPr>
      </w:pPr>
      <w:r>
        <w:rPr>
          <w:rFonts w:hint="eastAsia" w:ascii="Times New Roman" w:hAnsi="Times New Roman" w:cs="Times New Roman"/>
          <w:szCs w:val="21"/>
        </w:rPr>
        <w:t>These findings demonstrate that the combination of knowledge graph reasoning and community-level semantic aggregation enables Crop GraphRAG to deliver not only higher accuracy but also significantly better traceability and stability than traditional and baseline models.. Please see lines 541-562 of the manuscript for specific revisions.</w:t>
      </w:r>
    </w:p>
    <w:p w14:paraId="21E2021E">
      <w:pPr>
        <w:rPr>
          <w:rFonts w:hint="eastAsia"/>
        </w:rPr>
      </w:pPr>
    </w:p>
    <w:p w14:paraId="7677FD15">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In the 3.6 section, "Each system was scored from 1 to 5 on four criteria." Specify that scale e.g1 is low? </w:t>
      </w:r>
    </w:p>
    <w:p w14:paraId="7434F3B4">
      <w:pPr>
        <w:rPr>
          <w:rFonts w:hint="eastAsia"/>
        </w:rPr>
      </w:pPr>
    </w:p>
    <w:p w14:paraId="2E7641F1">
      <w:pPr>
        <w:rPr>
          <w:rFonts w:ascii="Times New Roman" w:hAnsi="Times New Roman" w:cs="Times New Roman"/>
          <w:szCs w:val="21"/>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szCs w:val="21"/>
        </w:rPr>
        <w:t>We thank the reviewer for the helpful suggestion. In the revised manuscript, we have clarified the definition of the 1–5 scoring scale used in Section 3.6. Specifically, we now state that:</w:t>
      </w:r>
    </w:p>
    <w:p w14:paraId="09CC96A4">
      <w:pPr>
        <w:rPr>
          <w:rFonts w:ascii="Times New Roman" w:hAnsi="Times New Roman" w:cs="Times New Roman"/>
          <w:szCs w:val="21"/>
        </w:rPr>
      </w:pPr>
      <w:r>
        <w:rPr>
          <w:rFonts w:hint="eastAsia" w:ascii="Times New Roman" w:hAnsi="Times New Roman" w:cs="Times New Roman"/>
          <w:szCs w:val="21"/>
        </w:rPr>
        <w:t>“Each system was scored from 1 to 5 on four dimensions—Accuracy, Coverage, Relevance, and Traceability—where 1 indicates the lowest performance and 5 indicates the highest.”</w:t>
      </w:r>
    </w:p>
    <w:p w14:paraId="08BBCE20">
      <w:pPr>
        <w:rPr>
          <w:rFonts w:ascii="Times New Roman" w:hAnsi="Times New Roman" w:cs="Times New Roman"/>
          <w:szCs w:val="21"/>
        </w:rPr>
      </w:pPr>
      <w:r>
        <w:rPr>
          <w:rFonts w:hint="eastAsia" w:ascii="Times New Roman" w:hAnsi="Times New Roman" w:cs="Times New Roman"/>
          <w:szCs w:val="21"/>
        </w:rPr>
        <w:t>This clarification ensures that readers can unambiguously interpret the evaluation scale used in the LLM-as-judge protocol. The revised text appears in Section 3.6, immediately following the description of the comparative evaluation setup. Please see lines 527-534 of the manuscript for specific revisions.</w:t>
      </w:r>
    </w:p>
    <w:p w14:paraId="27DF4C1C">
      <w:pPr>
        <w:rPr>
          <w:rFonts w:ascii="Times New Roman" w:hAnsi="Times New Roman" w:cs="Times New Roman"/>
          <w:b/>
          <w:bCs/>
          <w:i/>
          <w:iCs/>
          <w:szCs w:val="21"/>
        </w:rPr>
      </w:pPr>
    </w:p>
    <w:p w14:paraId="3C77A7A3">
      <w:pPr>
        <w:rPr>
          <w:rFonts w:hint="eastAsia"/>
          <w:color w:val="156082" w:themeColor="accent1"/>
          <w:sz w:val="16"/>
          <w:szCs w:val="18"/>
          <w14:textFill>
            <w14:solidFill>
              <w14:schemeClr w14:val="accent1"/>
            </w14:solidFill>
          </w14:textFill>
        </w:rPr>
      </w:pPr>
      <w:r>
        <w:rPr>
          <w:rFonts w:hint="eastAsia" w:ascii="Times New Roman" w:hAnsi="Times New Roman" w:cs="Times New Roman"/>
          <w:i/>
          <w:iCs/>
          <w:color w:val="156082" w:themeColor="accent1"/>
          <w:szCs w:val="21"/>
          <w14:textFill>
            <w14:solidFill>
              <w14:schemeClr w14:val="accent1"/>
            </w14:solidFill>
          </w14:textFill>
        </w:rPr>
        <w:t xml:space="preserve">All figures and table legends should be more detailed. Please add error bars in the graphs. </w:t>
      </w:r>
    </w:p>
    <w:p w14:paraId="5566ED68">
      <w:pPr>
        <w:rPr>
          <w:rFonts w:hint="eastAsia"/>
        </w:rPr>
      </w:pPr>
    </w:p>
    <w:p w14:paraId="68AE9CC6">
      <w:pPr>
        <w:rPr>
          <w:rFonts w:ascii="Times New Roman" w:hAnsi="Times New Roman" w:cs="Times New Roman"/>
        </w:rPr>
      </w:pPr>
      <w:r>
        <w:rPr>
          <w:rFonts w:hint="eastAsia" w:ascii="Times New Roman" w:hAnsi="Times New Roman" w:cs="Times New Roman"/>
          <w:b/>
          <w:bCs/>
          <w:szCs w:val="21"/>
        </w:rPr>
        <w:t>R</w:t>
      </w:r>
      <w:r>
        <w:rPr>
          <w:rFonts w:ascii="Times New Roman" w:hAnsi="Times New Roman" w:cs="Times New Roman"/>
          <w:b/>
          <w:bCs/>
          <w:szCs w:val="21"/>
        </w:rPr>
        <w:t>eply:</w:t>
      </w:r>
      <w:r>
        <w:rPr>
          <w:rFonts w:ascii="Times New Roman" w:hAnsi="Times New Roman" w:cs="Times New Roman"/>
          <w:szCs w:val="21"/>
        </w:rPr>
        <w:t xml:space="preserve"> </w:t>
      </w:r>
      <w:r>
        <w:rPr>
          <w:rFonts w:hint="eastAsia" w:ascii="Times New Roman" w:hAnsi="Times New Roman" w:cs="Times New Roman"/>
        </w:rPr>
        <w:t>We appreciate the reviewer’s suggestion to enhance the clarity and interpretability of the figures and tables. Following this advice, we have revised the figure and table legends throughout the manuscript to provide more descriptive details, including explicit explanations of variables, comparison methods, and contextual notes for each visual element.</w:t>
      </w:r>
    </w:p>
    <w:p w14:paraId="0DC14AA6">
      <w:pPr>
        <w:rPr>
          <w:rFonts w:ascii="Times New Roman" w:hAnsi="Times New Roman" w:cs="Times New Roman"/>
        </w:rPr>
      </w:pPr>
      <w:r>
        <w:rPr>
          <w:rFonts w:hint="eastAsia" w:ascii="Times New Roman" w:hAnsi="Times New Roman" w:cs="Times New Roman"/>
        </w:rPr>
        <w:t>Specifically, in Figure 6 (Ablation Results) and Figure 7 (Comparative Results), we have added error bars representing 95% confidence intervals (previously already reported in Figure 7) and clearly indicated statistical significance markers (*p &lt; 0.05, **p &lt; 0.01). Each legend now explicitly states that the bars denote mean performance values and the error bars denote 95% confidence intervals computed over five randomized evaluation replications.</w:t>
      </w:r>
    </w:p>
    <w:p w14:paraId="4B59794D">
      <w:pPr>
        <w:rPr>
          <w:rFonts w:ascii="Times New Roman" w:hAnsi="Times New Roman" w:cs="Times New Roman"/>
        </w:rPr>
      </w:pPr>
      <w:r>
        <w:rPr>
          <w:rFonts w:hint="eastAsia" w:ascii="Times New Roman" w:hAnsi="Times New Roman" w:cs="Times New Roman"/>
        </w:rPr>
        <w:t>Additionally, all table captions (Tables 3–5) have been revised to describe the content in greater detail, including data scope, metric definitions, and interpretation of significance annotations. These improvements aim to make the figures and tables fully self-explanatory and to facilitate easier comparison across experimental settings.</w:t>
      </w:r>
    </w:p>
    <w:p w14:paraId="285C2542">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7D4F89"/>
    <w:multiLevelType w:val="multilevel"/>
    <w:tmpl w:val="5D7D4F8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6EC"/>
    <w:rsid w:val="000646EC"/>
    <w:rsid w:val="004B29A2"/>
    <w:rsid w:val="004E4DBE"/>
    <w:rsid w:val="005D2973"/>
    <w:rsid w:val="009B186E"/>
    <w:rsid w:val="00B765BD"/>
    <w:rsid w:val="00CA2871"/>
    <w:rsid w:val="00F2415C"/>
    <w:rsid w:val="7BD06625"/>
    <w:rsid w:val="7DF98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2"/>
      <w:lang w:val="en-US" w:eastAsia="zh-CN" w:bidi="ar-SA"/>
      <w14:ligatures w14:val="none"/>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5352</Words>
  <Characters>30513</Characters>
  <Lines>254</Lines>
  <Paragraphs>71</Paragraphs>
  <TotalTime>131</TotalTime>
  <ScaleCrop>false</ScaleCrop>
  <LinksUpToDate>false</LinksUpToDate>
  <CharactersWithSpaces>35794</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2025-11-07T14:50:00Z</dcterms:created>
  <dc:creator>HAO WU</dc:creator>
  <cp:lastModifiedBy>方坚</cp:lastModifiedBy>
  <dcterms:modified xsi:type="dcterms:W3CDTF">2026-06-09T14:15:34Z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8CF7BCA1F9EE50AFF7AE276A54CD8617_42</vt:lpwstr>
  </property>
</Properties>
</file>