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t xml:space="preserve">SIMATIC </w:t>
      </w:r>
      <w:r>
        <w:rPr>
          <w:rFonts w:hint="eastAsia"/>
          <w:lang w:val="en-US" w:eastAsia="zh-CN"/>
        </w:rPr>
        <w:t xml:space="preserve">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SIMATIC IOT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SIMATIC IOT2020 </w:t>
      </w:r>
    </w:p>
    <w:p>
      <w:pPr>
        <w:pStyle w:val="9"/>
        <w:rPr>
          <w:rFonts w:hint="eastAsia"/>
        </w:rPr>
      </w:pPr>
      <w:r>
        <w:rPr>
          <w:rFonts w:hint="eastAsia"/>
          <w:lang w:val="en-US" w:eastAsia="zh-CN"/>
        </w:rPr>
        <w:t xml:space="preserve">SIMATIC IOT2040 </w:t>
      </w:r>
    </w:p>
    <w:p>
      <w:pPr>
        <w:pStyle w:val="9"/>
        <w:rPr>
          <w:rFonts w:hint="eastAsia"/>
        </w:rPr>
      </w:pPr>
      <w:r>
        <w:rPr>
          <w:rFonts w:hint="eastAsia"/>
        </w:rPr>
        <w:t>前言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概</w:t>
      </w:r>
      <w:r>
        <w:rPr>
          <w:rFonts w:hint="eastAsia"/>
          <w:lang w:eastAsia="zh-CN"/>
        </w:rPr>
        <w:t>述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安全守则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安装和连接设备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软件和调试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5扩展设置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6维护和维修设备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7技术规格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A技术支持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B缩略语表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法律信息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警告通知系统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手册包含您必须注意的注意事项，以确保您的人身安全以及防止财产损失。通过安全警示在手册中强调指出您的人身安全的通知符号，仅提及财产损失的通知没有安全警告标志。以下显示的这些通知根据危险程度进行分级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3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pStyle w:val="11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DANGER</w:t>
            </w:r>
          </w:p>
        </w:tc>
        <w:tc>
          <w:tcPr>
            <w:tcW w:w="6829" w:type="dxa"/>
          </w:tcPr>
          <w:p>
            <w:pPr>
              <w:pStyle w:val="1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表示如果不采取适当的预防措施，将导致死亡或严重的人身伤害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pStyle w:val="11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</w:t>
            </w:r>
          </w:p>
        </w:tc>
        <w:tc>
          <w:tcPr>
            <w:tcW w:w="6829" w:type="dxa"/>
          </w:tcPr>
          <w:p>
            <w:pPr>
              <w:pStyle w:val="1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表示如果不采取适当的预防措施，可能会导致死亡或严重的人身伤害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pStyle w:val="1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CAUTION</w:t>
            </w:r>
          </w:p>
        </w:tc>
        <w:tc>
          <w:tcPr>
            <w:tcW w:w="6829" w:type="dxa"/>
          </w:tcPr>
          <w:p>
            <w:pPr>
              <w:pStyle w:val="1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表示如果不采取适当的预防措施，可能会导致轻微的人身伤害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pStyle w:val="1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</w:t>
            </w:r>
          </w:p>
        </w:tc>
        <w:tc>
          <w:tcPr>
            <w:tcW w:w="6829" w:type="dxa"/>
          </w:tcPr>
          <w:p>
            <w:pPr>
              <w:pStyle w:val="1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表示如果不采取适当的预防措施，可能会导致财产损失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如果存在一个以上的危险程度，将采用代表最高危险度的警告通知。 有警告安全警告标志的人员的通知也可能包括有关财产损失的警告。</w:t>
      </w:r>
    </w:p>
    <w:p>
      <w:p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合格人员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本文档中描述的产品/系统只能由符合相关文件资格的人员操作，特别是其警告通知和安全说明。合格的人员是根据他们的培训和经验，在使用这些产品/系统时能够识别风险并避免潜在危害的人员。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正确使用西门子产品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请注意以下事项：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西门子产品只能用于目录和相关技术文档中描述的应用.如果使用其他制造商的产品和组件，必须由西门子推荐或批准。 正确运输，储存，安装，组装，调试，运行和需要维护以确保产品安全运行，没有任何问题。必须遵守允许的环境条件。必须遵守相关文件中的信息。</w:t>
            </w:r>
          </w:p>
        </w:tc>
      </w:tr>
    </w:tbl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所有通过®标识的名称均为Siemens AG的注册商标。 本出版物中的其余商标可能是由第三方为自己的目的使用的商标，可能会侵犯所有者的权利。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免责声明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我们已经审查了本出版物的内容，以确保与所描述的硬件和软件的一致性。 由于差异不能完全排除，我们不能保证完全一致。 但是，本出版物中的信息经过定期审查，随后将包括任何必要的更正版本。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这些操作说明包含SIMATIC IOT2000系列中设备调试和操作所需的所有信息。它既用于编程和测试人员，也可以将其与其他单元（自动化系统，编程设备）以及安装附加组件或进行故障/错误分析的服务和维护人员联系起来。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基础知识要求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了解本手册需要了解个人计算机，操作系统和程序设计。 推荐现场自动化控制工程的一般知识。</w:t>
      </w:r>
    </w:p>
    <w:p>
      <w:pPr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本文档的有效范围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这些操作说明适用于设备系列SIMATIC IOT2000的以下设备：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SIMATIC IOT2020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SIMATIC IOT2040 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本文档的范围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设备文档包括：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产品信息，例如 “设备上的重要说明”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快速安装指南SIMATIC IOT2000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SIMATIC IOT2000操作说明书，德文和英文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本文档中使用以下通用术语：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0"/>
        <w:gridCol w:w="7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6" w:hRule="atLeast"/>
        </w:trPr>
        <w:tc>
          <w:tcPr>
            <w:tcW w:w="1520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通用术语</w:t>
            </w:r>
          </w:p>
        </w:tc>
        <w:tc>
          <w:tcPr>
            <w:tcW w:w="7002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1520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</w:t>
            </w:r>
          </w:p>
        </w:tc>
        <w:tc>
          <w:tcPr>
            <w:tcW w:w="7002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SIMATIC IOT2020 ，SIMATIC IOT2040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0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Arduino保护</w:t>
            </w:r>
          </w:p>
        </w:tc>
        <w:tc>
          <w:tcPr>
            <w:tcW w:w="7002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ARDUNIO UNO(Rev3)</w:t>
            </w:r>
          </w:p>
        </w:tc>
      </w:tr>
    </w:tbl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注：Arduino UNO是Arduino USB接口系列的最新版本，作为Arduino平台的参考标准模板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“设备”有时用于指代SIMATIC IOT2020和SIMATIC IOT2040。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本手册包含所描述的设备的图形。所提供的设备可能在一些细节上与图不同。在一些图中，一个设备用于表示所有设备。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以下版本的操作说明已经发布：</w:t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6"/>
        <w:gridCol w:w="7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7186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6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09/2016</w:t>
            </w:r>
          </w:p>
        </w:tc>
        <w:tc>
          <w:tcPr>
            <w:tcW w:w="7186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10/2016</w:t>
            </w:r>
          </w:p>
        </w:tc>
        <w:tc>
          <w:tcPr>
            <w:tcW w:w="7186" w:type="dxa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第二版，修改论坛登录中的“软件和调试”一节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4880"/>
    <w:multiLevelType w:val="singleLevel"/>
    <w:tmpl w:val="592848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A91EEB"/>
    <w:rsid w:val="1F881060"/>
    <w:rsid w:val="23463E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jc w:val="center"/>
      <w:outlineLvl w:val="0"/>
    </w:pPr>
    <w:rPr>
      <w:rFonts w:eastAsia="黑体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2"/>
    </w:pPr>
    <w:rPr>
      <w:rFonts w:eastAsia="黑体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1.1.1"/>
    <w:basedOn w:val="1"/>
    <w:uiPriority w:val="0"/>
    <w:pPr>
      <w:spacing w:line="300" w:lineRule="auto"/>
      <w:jc w:val="left"/>
    </w:pPr>
    <w:rPr>
      <w:rFonts w:ascii="Times New Roman" w:hAnsi="Times New Roman"/>
      <w:sz w:val="28"/>
    </w:rPr>
  </w:style>
  <w:style w:type="paragraph" w:customStyle="1" w:styleId="9">
    <w:name w:val="绪论"/>
    <w:basedOn w:val="1"/>
    <w:uiPriority w:val="0"/>
    <w:pPr>
      <w:spacing w:line="300" w:lineRule="auto"/>
      <w:ind w:firstLine="0" w:firstLineChars="0"/>
      <w:jc w:val="center"/>
    </w:pPr>
    <w:rPr>
      <w:rFonts w:ascii="黑体" w:hAnsi="黑体" w:eastAsia="黑体"/>
      <w:sz w:val="32"/>
    </w:rPr>
  </w:style>
  <w:style w:type="paragraph" w:customStyle="1" w:styleId="10">
    <w:name w:val="图名格式"/>
    <w:basedOn w:val="1"/>
    <w:uiPriority w:val="0"/>
    <w:pPr>
      <w:spacing w:line="300" w:lineRule="auto"/>
      <w:ind w:firstLine="0" w:firstLineChars="0"/>
      <w:jc w:val="center"/>
    </w:pPr>
    <w:rPr>
      <w:sz w:val="21"/>
    </w:rPr>
  </w:style>
  <w:style w:type="paragraph" w:customStyle="1" w:styleId="11">
    <w:name w:val="表格"/>
    <w:basedOn w:val="1"/>
    <w:uiPriority w:val="0"/>
    <w:pPr>
      <w:spacing w:line="300" w:lineRule="auto"/>
      <w:ind w:firstLine="0" w:firstLineChars="0"/>
      <w:jc w:val="left"/>
    </w:pPr>
    <w:rPr>
      <w:sz w:val="21"/>
    </w:rPr>
  </w:style>
  <w:style w:type="character" w:customStyle="1" w:styleId="12">
    <w:name w:val="fontstyle01"/>
    <w:basedOn w:val="5"/>
    <w:uiPriority w:val="0"/>
    <w:rPr>
      <w:rFonts w:ascii="ArialUnicodeMS" w:hAnsi="ArialUnicodeMS" w:eastAsia="ArialUnicodeMS" w:cs="ArialUnicodeMS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2017-05-26T15:33:46Z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