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“分级评定 助推队伍建设”重庆市福彩在行动！</w:t>
        <w:br/>
        <w:t>2018年7月，重庆市, 中心组织开展了首次分中心58名项目及区域经理岗位的分级评定，本次分级评定按渠道经理、营销经理、培训经理和区域经理4个岗位类别，分别从理论知识、核心能力、职业技能和业绩贡献四个维度进行测评，共评定出1级经理1人，2级经理19人，3级经理38人。, 理论知识考试, 市福彩中心去年出台了《项目及区域经理分级管理（暂行）办法》和《项目及区域经理分级评定业绩贡献积分指标体系》，明确了分级类别、测评指标要素、评定方法等内容；在具体操作中，首次综合运用“结构化面试+无领导小组讨论+现场答辩”相融合的测评技术与方法，精心设计流程环节，严密组织实施，创新采取分工题库构建、随机抽题组卷、匿名阅卷统分等方式，确保测评过程的规范性和严谨性，强化分级评定的业绩结果导向。, 结构化面试, 无领导小组讨论, 评委提问答辩, 通过评定，13人获岗位晋级、5人被岗位降级，7人劳务派遣转为中心聘用，能上能下的人才流动机制初步建立，有效注入竞争压力，为推动高水平职业化队伍打造和重庆福彩市场运营目标的落地实现激发了潜在人才动力。</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44418697.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