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信阳福彩积极开展“快3”1900万大派奖活动培训</w:t>
        <w:br/>
        <w:t>为配合河南省, 开展的“快3”游戏1900万元大派奖活动，确保此次派奖活动顺利开展，信阳福彩工作人员前往各投注站进行了派奖活动宣传品的发放和张贴工作，要求各投注站严格按照省中心的规定，做好活动宣传，确保此次“快3”大派奖活动顺利进行。, 为了帮助销售人员更加深入的熟悉此次派奖的活动规则，掌握“快3”投注及营销技巧，信阳福彩中心特地邀请了著名培训师宋建忠于11月10日至11月17日在信阳城区及各县区开展了为期7天的进站点培训活动。, 此次培训会期间，宋老师详细的介绍了“快3”1900万大派奖促销活动规则，并结合自己多年的专业知识和经验对, 销售进行全新的讲述，也认真的对“快3”的投注方式和技巧进行了分析和指导，现场气氛活跃，信阳各地投注站销售业主受益良多，大家都觉得自己对“快3”有了更深入的了解，也明白了该如何与彩民沟通。, 通过此次培训，各地投注站的销量飞速上涨，且多处爆出“快3”大奖，效果十分显著！, 目前“快3”1900万大派奖活动正在火热进行中，希望彩民们抓住机会，在此，小编祝愿大家都能收获大奖哦！</w:t>
      </w:r>
    </w:p>
    <w:p>
      <w:r>
        <w:drawing>
          <wp:inline xmlns:a="http://schemas.openxmlformats.org/drawingml/2006/main" xmlns:pic="http://schemas.openxmlformats.org/drawingml/2006/picture">
            <wp:extent cx="6350000" cy="4495800"/>
            <wp:docPr id="1" name="Picture 1"/>
            <wp:cNvGraphicFramePr>
              <a:graphicFrameLocks noChangeAspect="1"/>
            </wp:cNvGraphicFramePr>
            <a:graphic>
              <a:graphicData uri="http://schemas.openxmlformats.org/drawingml/2006/picture">
                <pic:pic>
                  <pic:nvPicPr>
                    <pic:cNvPr id="0" name="Img523223320.jpg"/>
                    <pic:cNvPicPr/>
                  </pic:nvPicPr>
                  <pic:blipFill>
                    <a:blip r:embed="rId9"/>
                    <a:stretch>
                      <a:fillRect/>
                    </a:stretch>
                  </pic:blipFill>
                  <pic:spPr>
                    <a:xfrm>
                      <a:off x="0" y="0"/>
                      <a:ext cx="6350000" cy="4495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