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大乐透043期开奖：头奖17注590万元 滚存52亿元</w:t>
        <w:br/>
        <w:t>开奖日期：2018年4月16日, 本期全国销售金额：256,568,992元, 本期使用第3套摇奖球,  \xa0 \xa0 \xa0 \xa0 \xa0 \xa0 \xa0前区 \xa0 \xa0 \xa0 \xa0 \xa0 \xa0 \xa0 \xa0后区, 本期出球顺序： 03 06 13 33 28 \xa0 \xa0 \xa0 \xa0 \xa0 \xa0 04 11, 本期, 码： 03 06 13 28 33 \xa0 \xa0 \xa0 \xa0 \xa0 \xa0 04 11, 本期中奖情况, 本期一等奖出自：北京（基本12注 追加6注）、浙江（基本3注 追加3注）、湖北（基本1注）、陕西（基本1注 追加1注）。, 5,239,147,674.15元奖金滚入下期奖池。, 下期一等奖派奖奖金10,000,000元。, 固定奖派奖奖金余额225,731,905元。, 本期兑奖截止日为2018年6月15日，逾期作废奖处理。</w:t>
      </w:r>
    </w:p>
    <w:p>
      <w:r>
        <w:drawing>
          <wp:inline xmlns:a="http://schemas.openxmlformats.org/drawingml/2006/main" xmlns:pic="http://schemas.openxmlformats.org/drawingml/2006/picture">
            <wp:extent cx="5836595" cy="1906621"/>
            <wp:docPr id="1" name="Picture 1"/>
            <wp:cNvGraphicFramePr>
              <a:graphicFrameLocks noChangeAspect="1"/>
            </wp:cNvGraphicFramePr>
            <a:graphic>
              <a:graphicData uri="http://schemas.openxmlformats.org/drawingml/2006/picture">
                <pic:pic>
                  <pic:nvPicPr>
                    <pic:cNvPr id="0" name="Img535042023.jpg"/>
                    <pic:cNvPicPr/>
                  </pic:nvPicPr>
                  <pic:blipFill>
                    <a:blip r:embed="rId9"/>
                    <a:stretch>
                      <a:fillRect/>
                    </a:stretch>
                  </pic:blipFill>
                  <pic:spPr>
                    <a:xfrm>
                      <a:off x="0" y="0"/>
                      <a:ext cx="5836595" cy="190662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