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大乐透143期开奖：头奖4注1000万 奖池42.8亿元</w:t>
        <w:br/>
        <w:t>, , 17143, \xa0, , 2017, , 209,971,249, , 2,  \xa0 \xa0 \xa0 \xa0 \xa0 \xa0 \xa0 \xa0 \xa0 \xa0 \xa0 \xa0 \xa0 \xa0 \xa0\xa0 前区\xa0\xa0\xa0\xa0\xa0\xa0\xa0\xa0\xa0\xa0\xa0 后区, , 29\xa0\xa0 \xa024\xa0\xa0 \xa032\xa0\xa0 \xa009\xa0\xa0 \xa006\xa0\xa0 \xa0\xa0\xa0\xa0 02\xa0\xa0 \xa007, , 06\xa0\xa0 \xa009\xa0\xa0 \xa024\xa0\xa0 \xa029\xa0\xa0 \xa032\xa0\xa0 \xa0\xa0\xa0\xa0\xa002\xa0\xa0 \xa007, \xa0, , , (, 4,282,393,686.41, , 2018, , http://www.lottery.gov.cn</w:t>
      </w:r>
    </w:p>
    <w:p>
      <w:r>
        <w:drawing>
          <wp:inline xmlns:a="http://schemas.openxmlformats.org/drawingml/2006/main" xmlns:pic="http://schemas.openxmlformats.org/drawingml/2006/picture">
            <wp:extent cx="7620000" cy="275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58235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55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