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广西刮刮乐团：立秋八月微风起 参观刮彩心情爽</w:t>
        <w:br/>
        <w:t>入秋的徐徐微风带来了几分凉爽，北京刮刮乐梦工厂也迎来了热情满满的广西团。8月7日，来自广西省的彩民代表和工作人员等一行40余人，来到梦工厂进行实地参观，共同“走近刮刮乐”，见证公平、公正的, 刮刮乐的生产过程、配送流程，感受福彩“刮刮乐”的魅力。, （广西省代表在刮刮乐梦工厂内合影留念）, （代表们在活动现场刮, ）, “走近刮刮乐”的王牌互动游戏“幸运PK王”依然是能带给代表们惊喜的环节，现场气氛活跃欢乐，紧张刺激，让代表们不仅有机会赢取刮刮乐奖金，还有机会获得“走近刮刮乐”活动定制的精美礼品。, （“幸运PK王”环节期冠军林女士）, （代表们参观印制车间）, 代表们在工作人员的带领下进入刮刮乐的期待已久的生产车间参观环节，真正的“走近刮刮乐”，参观生产车间和配送流程等，亲眼见证生产的每一道工序，感受公平、公正的“刮刮乐”诞生。, 活动结束后，代表们表示意犹未尽，希望下一次还能有机会来到“走近”之旅。立秋“抢秋膘”，广西团的代表们也给自己抢得了一份好运，希望这份好运能一直伴随他们的福彩之路。</w:t>
      </w:r>
    </w:p>
    <w:p>
      <w:r>
        <w:drawing>
          <wp:inline xmlns:a="http://schemas.openxmlformats.org/drawingml/2006/main" xmlns:pic="http://schemas.openxmlformats.org/drawingml/2006/picture">
            <wp:extent cx="6350000" cy="3556000"/>
            <wp:docPr id="1" name="Picture 1"/>
            <wp:cNvGraphicFramePr>
              <a:graphicFrameLocks noChangeAspect="1"/>
            </wp:cNvGraphicFramePr>
            <a:graphic>
              <a:graphicData uri="http://schemas.openxmlformats.org/drawingml/2006/picture">
                <pic:pic>
                  <pic:nvPicPr>
                    <pic:cNvPr id="0" name="Img545907944.jpg"/>
                    <pic:cNvPicPr/>
                  </pic:nvPicPr>
                  <pic:blipFill>
                    <a:blip r:embed="rId9"/>
                    <a:stretch>
                      <a:fillRect/>
                    </a:stretch>
                  </pic:blipFill>
                  <pic:spPr>
                    <a:xfrm>
                      <a:off x="0" y="0"/>
                      <a:ext cx="6350000" cy="3556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