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河北保定福彩 组织开展即开票营销技能培训会议</w:t>
        <w:br/>
        <w:t>9月7日至9月26日，河北省, 中心推出刮刮乐“‘壕7’交好运、大礼奖不停”促销活动。“壕7”面值10元，共有26次中奖机会，最高奖金40万元。在促销活动期间，彩民购买“壕7”“7开得胜”“双赢”“摇钱树”4款促销票种中的任意一款，均有机会获赠100元刮刮乐, ；此外，购买“壕7”彩票，还有机会获赠10元至1000元不等的京东E卡、应邀前往北京参加“走近刮刮乐”活动。, 为有力推动即开票销量，提升投注站销售水平和营销技能，保定市福彩中心于9月6日——14日，分别在保定市区和唐县、定兴、涞水、满城、高阳等县（区），连续组织了6场次的即开票“壕7”营销技能推广活动。此次营销推广活动共有300余个站点的销售员和投注站主参加。, 在培训中，市中心业务负责人对这款新票种的内容和游戏规则和票种销售技巧等进行了讲解，对投注站和销售员在销售工作方面提出的问题一一作了解答。大家在培训活动中，认真听课和做笔记，积极沟通，同行之间也开展了热烈的讨论，使这次培训取得了很好的效果。</w:t>
      </w:r>
    </w:p>
    <w:p>
      <w:r>
        <w:drawing>
          <wp:inline xmlns:a="http://schemas.openxmlformats.org/drawingml/2006/main" xmlns:pic="http://schemas.openxmlformats.org/drawingml/2006/picture">
            <wp:extent cx="6350000" cy="3568700"/>
            <wp:docPr id="1" name="Picture 1"/>
            <wp:cNvGraphicFramePr>
              <a:graphicFrameLocks noChangeAspect="1"/>
            </wp:cNvGraphicFramePr>
            <a:graphic>
              <a:graphicData uri="http://schemas.openxmlformats.org/drawingml/2006/picture">
                <pic:pic>
                  <pic:nvPicPr>
                    <pic:cNvPr id="0" name="Img549738792.jpg"/>
                    <pic:cNvPicPr/>
                  </pic:nvPicPr>
                  <pic:blipFill>
                    <a:blip r:embed="rId9"/>
                    <a:stretch>
                      <a:fillRect/>
                    </a:stretch>
                  </pic:blipFill>
                  <pic:spPr>
                    <a:xfrm>
                      <a:off x="0" y="0"/>
                      <a:ext cx="6350000" cy="3568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