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河北福彩 举行销售厅应急抢救培训提升急救常识</w:t>
        <w:br/>
        <w:t>为有效提升销售厅工作人员的应急抢救能力，9月13日，河北省, 中心组织开展了以应急抢救知识为主要内容的培训。河北省福彩中心及中心直管中福在线销售厅工作人员参加了培训。, 上午9时许，在石家庄新华西路中福在线销售厅，省福彩中心工作人员首先详细讲解了日常工作和生活中出现意外触电、突发疾病等情况如何正确处置、应急抢救及避免二次伤害等基本常识。针对销售厅人员密集、电器设备较多的特点，着重对人员意外触电的应急处置进行了详细讲解。讲解结束后，参加培训人员还观看了有关应急抢救的视频片。通过培训，销售厅工作人员了解和掌握了应急抢救的基本常识，切实提升了应对突发事件和应急处置能力。</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50078958.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