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重庆市荣昌区 召开福彩民心亭建设工作专题会议</w:t>
        <w:br/>
        <w:t>为拓宽, 销售渠道，进一步提升福彩销量，彰显福彩“扶老、助残、救孤、济困”的发行宗旨，助推全区社会福利事业不断发展。7月6日下午，荣昌区政府副区长刘菊华在区行政中心五楼会议室，组织区民政局、区城管局、区福彩工作站、市福彩中心渝西分中心等单位负责人召开了全区福彩民心亭建设工作专题会。, 专题会上，荣昌区福彩工作站负责人先对今年1-6月福彩销售、同比增长量和渠道建设等相关情况进行了汇报。荣昌区民政局负责人针对在荣昌城区南门桥等繁华路段增设3处、城区外吴家镇等大型镇街增设3处福彩民心亭进行了情况介绍和说明。会议最后，荣昌区城管局负责人就新增设的6处福彩民心亭逐一提出了意见和建议，并表示将全力支持和配合福彩民心亭的选址及建设工作。, 在听取与会各方意见后，刘菊华对推进福彩民心亭建设工作提出了工作要求：一是加大发行销售力度，创新机制，增添激励措施，扩大销售渠道；二是区民政局与区城管局要密切配合，抓紧推动民心亭建设工作；三是结合城区建筑风貌，融入荣昌当地元素特色，创新民心亭设计表现形式，保证民心亭建设质量，让建成的福彩民心亭成为城市中一道靓丽的风景线。</w:t>
      </w:r>
    </w:p>
    <w:p>
      <w:r>
        <w:drawing>
          <wp:inline xmlns:a="http://schemas.openxmlformats.org/drawingml/2006/main" xmlns:pic="http://schemas.openxmlformats.org/drawingml/2006/picture">
            <wp:extent cx="6350000" cy="3505200"/>
            <wp:docPr id="1" name="Picture 1"/>
            <wp:cNvGraphicFramePr>
              <a:graphicFrameLocks noChangeAspect="1"/>
            </wp:cNvGraphicFramePr>
            <a:graphic>
              <a:graphicData uri="http://schemas.openxmlformats.org/drawingml/2006/picture">
                <pic:pic>
                  <pic:nvPicPr>
                    <pic:cNvPr id="0" name="Img543131029.jpg"/>
                    <pic:cNvPicPr/>
                  </pic:nvPicPr>
                  <pic:blipFill>
                    <a:blip r:embed="rId9"/>
                    <a:stretch>
                      <a:fillRect/>
                    </a:stretch>
                  </pic:blipFill>
                  <pic:spPr>
                    <a:xfrm>
                      <a:off x="0" y="0"/>
                      <a:ext cx="6350000" cy="35052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