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A243" w14:textId="77777777" w:rsidR="00645A62" w:rsidRPr="00645A62" w:rsidRDefault="00645A62" w:rsidP="00645A62">
      <w:pPr>
        <w:ind w:left="13"/>
        <w:rPr>
          <w:b/>
          <w:bCs/>
        </w:rPr>
      </w:pPr>
      <w:r w:rsidRPr="00645A62">
        <w:rPr>
          <w:b/>
          <w:bCs/>
        </w:rPr>
        <w:t>a. 强制 (Mandatory)</w:t>
      </w:r>
    </w:p>
    <w:p w14:paraId="071AB378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源文件必须使用 UTF-8 编码。</w:t>
      </w:r>
    </w:p>
    <w:p w14:paraId="2663AEE1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应统一使用 JDK 11 或团队规定的更高版本。</w:t>
      </w:r>
    </w:p>
    <w:p w14:paraId="5938AEA0" w14:textId="59C7D53A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包名全部小写，且以</w:t>
      </w:r>
      <w:r>
        <w:rPr>
          <w:rFonts w:hint="eastAsia"/>
        </w:rPr>
        <w:t>个人或团队</w:t>
      </w:r>
      <w:r w:rsidR="009D5C12">
        <w:rPr>
          <w:rFonts w:hint="eastAsia"/>
        </w:rPr>
        <w:t>名称</w:t>
      </w:r>
      <w:r w:rsidRPr="00645A62">
        <w:t>开头。</w:t>
      </w:r>
    </w:p>
    <w:p w14:paraId="6E901580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每个 public 类或接口必须放在独立的 .java 文件中，且文件名与类名一致。</w:t>
      </w:r>
    </w:p>
    <w:p w14:paraId="2895C67D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类名、接口名、枚举名应采用首字母大写的驼峰命名法。</w:t>
      </w:r>
    </w:p>
    <w:p w14:paraId="14EC6DF9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方法名和变量名应采用首字母小写的驼峰命名法。</w:t>
      </w:r>
    </w:p>
    <w:p w14:paraId="3710612D" w14:textId="78C365E1" w:rsidR="00645A62" w:rsidRPr="00645A62" w:rsidRDefault="00645A62" w:rsidP="00051DCE">
      <w:pPr>
        <w:numPr>
          <w:ilvl w:val="0"/>
          <w:numId w:val="1"/>
        </w:numPr>
        <w:ind w:left="373"/>
        <w:rPr>
          <w:rFonts w:hint="eastAsia"/>
        </w:rPr>
      </w:pPr>
      <w:r w:rsidRPr="00645A62">
        <w:t>常量名应全部大写，单词间以下划线分隔。</w:t>
      </w:r>
    </w:p>
    <w:p w14:paraId="0A6CD245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单行代码长度不得超过 100 个字符。</w:t>
      </w:r>
    </w:p>
    <w:p w14:paraId="0BCB4928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左大括号应与声明在同一行，采用 K&amp;R 风格。</w:t>
      </w:r>
    </w:p>
    <w:p w14:paraId="10C23DD4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禁止使用通配符 import，必须显式导入类。</w:t>
      </w:r>
    </w:p>
    <w:p w14:paraId="06CAADA2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文件末尾必须保留一个空行，方法间至少空一行。</w:t>
      </w:r>
    </w:p>
    <w:p w14:paraId="2873DB7F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I/O、数据库、网络等资源必须在 try-with-resources 或 finally 中关闭。</w:t>
      </w:r>
    </w:p>
    <w:p w14:paraId="7FB86116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只能捕获需要处理的具体异常类型，禁止捕获 Exception 或 Throwable。</w:t>
      </w:r>
    </w:p>
    <w:p w14:paraId="2344227F" w14:textId="713AA4DA" w:rsidR="00645A62" w:rsidRPr="00645A62" w:rsidRDefault="00645A62" w:rsidP="00E31B6D">
      <w:pPr>
        <w:numPr>
          <w:ilvl w:val="0"/>
          <w:numId w:val="1"/>
        </w:numPr>
        <w:ind w:left="373"/>
        <w:rPr>
          <w:rFonts w:hint="eastAsia"/>
        </w:rPr>
      </w:pPr>
      <w:r w:rsidRPr="00645A62">
        <w:t>自定义业务异常必须继承自 RuntimeException 或团队基类，并提供错误码与详细信息。</w:t>
      </w:r>
    </w:p>
    <w:p w14:paraId="07EC153E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核心逻辑必须编写单元测试，测试覆盖率不得低于 80%。</w:t>
      </w:r>
    </w:p>
    <w:p w14:paraId="06F79A5C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测试类应与被测类位于同一包，命名以 ClassNameTest 结尾。</w:t>
      </w:r>
    </w:p>
    <w:p w14:paraId="63E95CB0" w14:textId="77777777" w:rsidR="00645A62" w:rsidRPr="00645A62" w:rsidRDefault="00645A62" w:rsidP="00645A62">
      <w:pPr>
        <w:numPr>
          <w:ilvl w:val="0"/>
          <w:numId w:val="1"/>
        </w:numPr>
        <w:ind w:left="373"/>
      </w:pPr>
      <w:bookmarkStart w:id="0" w:name="_GoBack"/>
      <w:r w:rsidRPr="00645A62">
        <w:t>CI 必须通过 Checkstyle、SpotBugs、PMD 等静态分析，且无严重警告。</w:t>
      </w:r>
      <w:bookmarkEnd w:id="0"/>
    </w:p>
    <w:p w14:paraId="0A95BEA8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所有代码提交必须经过至少一次 Code Review，且所有意见需处理完毕。</w:t>
      </w:r>
    </w:p>
    <w:p w14:paraId="2DBFEA08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依赖管理必须使用 Maven 或 Gradle，禁止手动引入第三方 JAR。</w:t>
      </w:r>
    </w:p>
    <w:p w14:paraId="3681F4D2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主干分支应始终保持可编译状态，禁止直接推送到 main 或 master。</w:t>
      </w:r>
    </w:p>
    <w:p w14:paraId="3299F3CE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分支命名应遵循 feature/xxx、bugfix/xxx、release/xxx 等规范。</w:t>
      </w:r>
    </w:p>
    <w:p w14:paraId="572B05AB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敏感信息（如密码、密钥、Token）禁止硬编码，必须通过配置中心或环境变量读取。</w:t>
      </w:r>
    </w:p>
    <w:p w14:paraId="2885572D" w14:textId="77777777" w:rsidR="00645A62" w:rsidRPr="00645A62" w:rsidRDefault="00645A62" w:rsidP="00645A62">
      <w:pPr>
        <w:numPr>
          <w:ilvl w:val="0"/>
          <w:numId w:val="1"/>
        </w:numPr>
        <w:ind w:left="373"/>
      </w:pPr>
      <w:r w:rsidRPr="00645A62">
        <w:t>对外暴露的公共 API 必须提供完整的 JavaDoc，包括参数、返回值和异常说明。</w:t>
      </w:r>
    </w:p>
    <w:p w14:paraId="1E6E1BF6" w14:textId="77777777" w:rsidR="00645A62" w:rsidRPr="00645A62" w:rsidRDefault="00645A62" w:rsidP="00645A62">
      <w:pPr>
        <w:ind w:left="13"/>
      </w:pPr>
      <w:r w:rsidRPr="00645A62">
        <w:pict w14:anchorId="7318E349">
          <v:rect id="_x0000_i1044" style="width:0;height:1.5pt" o:hralign="center" o:hrstd="t" o:hr="t" fillcolor="#a0a0a0" stroked="f"/>
        </w:pict>
      </w:r>
    </w:p>
    <w:p w14:paraId="01337234" w14:textId="77777777" w:rsidR="00645A62" w:rsidRPr="00645A62" w:rsidRDefault="00645A62" w:rsidP="00645A62">
      <w:pPr>
        <w:ind w:left="13"/>
        <w:rPr>
          <w:b/>
          <w:bCs/>
        </w:rPr>
      </w:pPr>
      <w:r w:rsidRPr="00645A62">
        <w:rPr>
          <w:b/>
          <w:bCs/>
        </w:rPr>
        <w:t>b. 推荐 (Recommended)</w:t>
      </w:r>
    </w:p>
    <w:p w14:paraId="2DB0F375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方法参数不宜超过五个，必要时应封装为对象或使用 Builder 模式。</w:t>
      </w:r>
    </w:p>
    <w:p w14:paraId="78789CAE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避免返回 null，可使用 Optional 表示可选值。</w:t>
      </w:r>
    </w:p>
    <w:p w14:paraId="461FA800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优先使用 Stream、Lambda 和方法引用以提高可读性。</w:t>
      </w:r>
    </w:p>
    <w:p w14:paraId="477CCFB5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重要场景下应添加 @Override、@Deprecated、@SuppressWarnings 等注解。</w:t>
      </w:r>
    </w:p>
    <w:p w14:paraId="1A392614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适当使用工厂、单例、策略、模板方法等设计模式提高扩展性。</w:t>
      </w:r>
    </w:p>
    <w:p w14:paraId="1D768025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建议采用 Controller–Service–Repository 三层架构，层间通过接口交互。</w:t>
      </w:r>
    </w:p>
    <w:p w14:paraId="661ECBBA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错误码应统一定义并通过统一异常处理器转换为 HTTP 响应。</w:t>
      </w:r>
    </w:p>
    <w:p w14:paraId="467A98EE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使用 Swagger/OpenAPI 自动生成并维护 API 文档。</w:t>
      </w:r>
    </w:p>
    <w:p w14:paraId="6849ADB0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对长期维护的模块应定期重构，每季度至少评估一次死代码和冗余依赖。</w:t>
      </w:r>
    </w:p>
    <w:p w14:paraId="6D9920DC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入参校验应使用 Hibernate Validator 注解，避免手写校验逻辑。</w:t>
      </w:r>
    </w:p>
    <w:p w14:paraId="268E95A7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数据库操作应在事务内执行，使用 @Transactional 并指定 rollbackFor。</w:t>
      </w:r>
    </w:p>
    <w:p w14:paraId="470FF9B7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对热点数据使用本地或分布式缓存（如 Caffeine、Redis），并设置合理过期策略。</w:t>
      </w:r>
    </w:p>
    <w:p w14:paraId="4AEBB759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并发场景应使用 java.util.concurrent 下的原语，尽量避免 synchronized。</w:t>
      </w:r>
    </w:p>
    <w:p w14:paraId="4FE5B151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当涉及用户可见文本时应使用国际化资源文件管理。</w:t>
      </w:r>
    </w:p>
    <w:p w14:paraId="39D03E0D" w14:textId="77777777" w:rsidR="00645A62" w:rsidRPr="00645A62" w:rsidRDefault="00645A62" w:rsidP="00645A62">
      <w:pPr>
        <w:numPr>
          <w:ilvl w:val="0"/>
          <w:numId w:val="2"/>
        </w:numPr>
        <w:ind w:left="373"/>
      </w:pPr>
      <w:r w:rsidRPr="00645A62">
        <w:t>对重要接口应编写集成测试或契约测试以保证稳定性。</w:t>
      </w:r>
    </w:p>
    <w:p w14:paraId="04E95976" w14:textId="77777777" w:rsidR="00645A62" w:rsidRPr="00645A62" w:rsidRDefault="00645A62" w:rsidP="00645A62">
      <w:pPr>
        <w:ind w:left="13"/>
      </w:pPr>
      <w:r w:rsidRPr="00645A62">
        <w:pict w14:anchorId="1CD46121">
          <v:rect id="_x0000_i1045" style="width:0;height:1.5pt" o:hralign="center" o:hrstd="t" o:hr="t" fillcolor="#a0a0a0" stroked="f"/>
        </w:pict>
      </w:r>
    </w:p>
    <w:p w14:paraId="0719A417" w14:textId="77777777" w:rsidR="00645A62" w:rsidRPr="00645A62" w:rsidRDefault="00645A62" w:rsidP="00645A62">
      <w:pPr>
        <w:ind w:left="13"/>
        <w:rPr>
          <w:b/>
          <w:bCs/>
        </w:rPr>
      </w:pPr>
      <w:r w:rsidRPr="00645A62">
        <w:rPr>
          <w:b/>
          <w:bCs/>
        </w:rPr>
        <w:t>c. 允许 (Permitted)</w:t>
      </w:r>
    </w:p>
    <w:p w14:paraId="7DB8BDE0" w14:textId="77777777" w:rsidR="00645A62" w:rsidRPr="00645A62" w:rsidRDefault="00645A62" w:rsidP="00645A62">
      <w:pPr>
        <w:numPr>
          <w:ilvl w:val="0"/>
          <w:numId w:val="3"/>
        </w:numPr>
        <w:ind w:left="373"/>
      </w:pPr>
      <w:r w:rsidRPr="00645A62">
        <w:lastRenderedPageBreak/>
        <w:t>在简单场景下可使用 // 单行注释进行说明。</w:t>
      </w:r>
    </w:p>
    <w:p w14:paraId="33592B11" w14:textId="77777777" w:rsidR="00645A62" w:rsidRPr="00645A62" w:rsidRDefault="00645A62" w:rsidP="00645A62">
      <w:pPr>
        <w:numPr>
          <w:ilvl w:val="0"/>
          <w:numId w:val="3"/>
        </w:numPr>
        <w:ind w:left="373"/>
      </w:pPr>
      <w:r w:rsidRPr="00645A62">
        <w:t>对复杂逻辑可使用 /* … */ 多行注释，但需谨慎使用。</w:t>
      </w:r>
    </w:p>
    <w:p w14:paraId="7ED60C34" w14:textId="77777777" w:rsidR="00645A62" w:rsidRPr="00645A62" w:rsidRDefault="00645A62" w:rsidP="00645A62">
      <w:pPr>
        <w:numPr>
          <w:ilvl w:val="0"/>
          <w:numId w:val="3"/>
        </w:numPr>
        <w:ind w:left="373"/>
      </w:pPr>
      <w:r w:rsidRPr="00645A62">
        <w:t>在函数式场景可使用匿名内部类替代 Lambda 表达式。</w:t>
      </w:r>
    </w:p>
    <w:p w14:paraId="749F2FB5" w14:textId="77777777" w:rsidR="00645A62" w:rsidRPr="00645A62" w:rsidRDefault="00645A62" w:rsidP="00645A62">
      <w:pPr>
        <w:numPr>
          <w:ilvl w:val="0"/>
          <w:numId w:val="3"/>
        </w:numPr>
        <w:ind w:left="373"/>
      </w:pPr>
      <w:r w:rsidRPr="00645A62">
        <w:t>可以引入 Guava、Apache Commons、Lombok 等成熟开源工具包。</w:t>
      </w:r>
    </w:p>
    <w:p w14:paraId="19F626AC" w14:textId="77777777" w:rsidR="00645A62" w:rsidRPr="00645A62" w:rsidRDefault="00645A62" w:rsidP="00645A62">
      <w:pPr>
        <w:numPr>
          <w:ilvl w:val="0"/>
          <w:numId w:val="3"/>
        </w:numPr>
        <w:ind w:left="373"/>
      </w:pPr>
      <w:r w:rsidRPr="00645A62">
        <w:t>在特殊场景下可直接使用原生 JDBC，但必须确保资源正确释放。</w:t>
      </w:r>
    </w:p>
    <w:p w14:paraId="2530A328" w14:textId="77777777" w:rsidR="004E7A3E" w:rsidRPr="00645A62" w:rsidRDefault="004E7A3E">
      <w:pPr>
        <w:ind w:left="13"/>
      </w:pPr>
    </w:p>
    <w:sectPr w:rsidR="004E7A3E" w:rsidRPr="00645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0343C"/>
    <w:multiLevelType w:val="multilevel"/>
    <w:tmpl w:val="6332FCE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76239"/>
    <w:multiLevelType w:val="multilevel"/>
    <w:tmpl w:val="EEC4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23EE5"/>
    <w:multiLevelType w:val="multilevel"/>
    <w:tmpl w:val="30C8D3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53"/>
    <w:rsid w:val="00051DCE"/>
    <w:rsid w:val="000E69DF"/>
    <w:rsid w:val="003976E5"/>
    <w:rsid w:val="00427B65"/>
    <w:rsid w:val="004E7A3E"/>
    <w:rsid w:val="00645A62"/>
    <w:rsid w:val="00734E4E"/>
    <w:rsid w:val="009D5C12"/>
    <w:rsid w:val="00B5214D"/>
    <w:rsid w:val="00D3054E"/>
    <w:rsid w:val="00E12F55"/>
    <w:rsid w:val="00E31B6D"/>
    <w:rsid w:val="00EF7153"/>
    <w:rsid w:val="00F6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4E5"/>
  <w15:chartTrackingRefBased/>
  <w15:docId w15:val="{FD328AC7-A807-4DCB-AA83-9624CBE7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6" w:left="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2025-06-16T12:34:00Z</dcterms:created>
  <dcterms:modified xsi:type="dcterms:W3CDTF">2025-06-16T13:48:00Z</dcterms:modified>
</cp:coreProperties>
</file>