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C2506" w:rsidRDefault="00000000">
      <w:pPr>
        <w:pStyle w:val="1"/>
      </w:pPr>
      <w:r>
        <w:t xml:space="preserve">Python </w:t>
      </w:r>
      <w:r>
        <w:t>技术管理文档</w:t>
      </w:r>
      <w:r>
        <w:t xml:space="preserve"> </w:t>
      </w:r>
    </w:p>
    <w:p w:rsidR="001C2506" w:rsidRDefault="00000000">
      <w:pPr>
        <w:pStyle w:val="2"/>
      </w:pPr>
      <w:r>
        <w:t>一、强制规则</w:t>
      </w:r>
      <w:r>
        <w:t xml:space="preserve"> </w:t>
      </w:r>
    </w:p>
    <w:p w:rsidR="001C2506" w:rsidRDefault="00000000">
      <w:pPr>
        <w:pStyle w:val="20"/>
        <w:numPr>
          <w:ilvl w:val="0"/>
          <w:numId w:val="1"/>
        </w:numPr>
      </w:pPr>
      <w:r>
        <w:t>代码缩进必须使用</w:t>
      </w:r>
      <w:r>
        <w:t xml:space="preserve"> 4 </w:t>
      </w:r>
      <w:r>
        <w:t>个空格，禁止使用制表符（</w:t>
      </w:r>
      <w:r>
        <w:t>Tab</w:t>
      </w:r>
      <w:r>
        <w:t>）。</w:t>
      </w:r>
      <w:r>
        <w:t xml:space="preserve"> </w:t>
      </w:r>
    </w:p>
    <w:p w:rsidR="001C2506" w:rsidRDefault="00000000">
      <w:pPr>
        <w:pStyle w:val="20"/>
        <w:numPr>
          <w:ilvl w:val="0"/>
          <w:numId w:val="1"/>
        </w:numPr>
      </w:pPr>
      <w:r>
        <w:t>每行代码长度不得超过</w:t>
      </w:r>
      <w:r>
        <w:t xml:space="preserve"> 80 </w:t>
      </w:r>
      <w:r>
        <w:t>个字符，超过时应合理换行。</w:t>
      </w:r>
      <w:r>
        <w:t xml:space="preserve"> </w:t>
      </w:r>
    </w:p>
    <w:p w:rsidR="001C2506" w:rsidRDefault="00000000">
      <w:pPr>
        <w:pStyle w:val="20"/>
        <w:numPr>
          <w:ilvl w:val="0"/>
          <w:numId w:val="1"/>
        </w:numPr>
      </w:pPr>
      <w:r>
        <w:t>模块、类、函数、变量等命名必须使用小写字母和下划线组合的方式，如</w:t>
      </w:r>
      <w:proofErr w:type="spellStart"/>
      <w:r>
        <w:rPr>
          <w:highlight w:val="cyan"/>
          <w:bdr w:val="single" w:sz="4" w:space="0" w:color="DEE0E3"/>
        </w:rPr>
        <w:t>user_name</w:t>
      </w:r>
      <w:proofErr w:type="spellEnd"/>
      <w:r>
        <w:t>。</w:t>
      </w:r>
      <w:r>
        <w:t xml:space="preserve"> </w:t>
      </w:r>
    </w:p>
    <w:p w:rsidR="001C2506" w:rsidRDefault="00000000">
      <w:pPr>
        <w:pStyle w:val="20"/>
        <w:numPr>
          <w:ilvl w:val="0"/>
          <w:numId w:val="1"/>
        </w:numPr>
      </w:pPr>
      <w:r>
        <w:t>类名使用大写字母开头的驼峰命名法，如</w:t>
      </w:r>
      <w:proofErr w:type="spellStart"/>
      <w:r>
        <w:rPr>
          <w:highlight w:val="cyan"/>
          <w:bdr w:val="single" w:sz="4" w:space="0" w:color="DEE0E3"/>
        </w:rPr>
        <w:t>UserProfile</w:t>
      </w:r>
      <w:proofErr w:type="spellEnd"/>
      <w:r>
        <w:t>。</w:t>
      </w:r>
      <w:r>
        <w:t xml:space="preserve"> </w:t>
      </w:r>
    </w:p>
    <w:p w:rsidR="001C2506" w:rsidRDefault="00000000">
      <w:pPr>
        <w:pStyle w:val="20"/>
        <w:numPr>
          <w:ilvl w:val="0"/>
          <w:numId w:val="1"/>
        </w:numPr>
      </w:pPr>
      <w:r>
        <w:t>所有</w:t>
      </w:r>
      <w:r>
        <w:t xml:space="preserve"> Python </w:t>
      </w:r>
      <w:r>
        <w:t>文件必须以</w:t>
      </w:r>
      <w:r>
        <w:t xml:space="preserve"> UTF-8 </w:t>
      </w:r>
      <w:r>
        <w:t>编码保存。</w:t>
      </w:r>
      <w:r>
        <w:t xml:space="preserve"> </w:t>
      </w:r>
    </w:p>
    <w:p w:rsidR="001C2506" w:rsidRDefault="00000000">
      <w:pPr>
        <w:pStyle w:val="20"/>
        <w:numPr>
          <w:ilvl w:val="0"/>
          <w:numId w:val="1"/>
        </w:numPr>
      </w:pPr>
      <w:r>
        <w:t>在导入模块时，必须按照标准库、第三方库、自定义库的顺序依次导入，且每组导入之间需空一行。</w:t>
      </w:r>
      <w:r>
        <w:t xml:space="preserve"> </w:t>
      </w:r>
    </w:p>
    <w:p w:rsidR="001C2506" w:rsidRDefault="00000000">
      <w:pPr>
        <w:pStyle w:val="20"/>
        <w:numPr>
          <w:ilvl w:val="0"/>
          <w:numId w:val="1"/>
        </w:numPr>
      </w:pPr>
      <w:r>
        <w:t>禁止使用通配符导入模块，如</w:t>
      </w:r>
      <w:r>
        <w:rPr>
          <w:highlight w:val="cyan"/>
          <w:bdr w:val="single" w:sz="4" w:space="0" w:color="DEE0E3"/>
        </w:rPr>
        <w:t>from module import *</w:t>
      </w:r>
      <w:r>
        <w:t>。</w:t>
      </w:r>
      <w:r>
        <w:t xml:space="preserve"> </w:t>
      </w:r>
    </w:p>
    <w:p w:rsidR="001C2506" w:rsidRDefault="00000000">
      <w:pPr>
        <w:pStyle w:val="20"/>
        <w:numPr>
          <w:ilvl w:val="0"/>
          <w:numId w:val="1"/>
        </w:numPr>
      </w:pPr>
      <w:r>
        <w:t>条件语句、循环语句、函数定义等必须使用冒号（</w:t>
      </w:r>
      <w:r>
        <w:t>:</w:t>
      </w:r>
      <w:r>
        <w:t>）开启新的代码块。</w:t>
      </w:r>
      <w:r>
        <w:t xml:space="preserve"> </w:t>
      </w:r>
    </w:p>
    <w:p w:rsidR="001C2506" w:rsidRDefault="00000000">
      <w:pPr>
        <w:pStyle w:val="20"/>
        <w:numPr>
          <w:ilvl w:val="0"/>
          <w:numId w:val="1"/>
        </w:numPr>
      </w:pPr>
      <w:r>
        <w:t>函数和类的定义前后必须空两行。</w:t>
      </w:r>
      <w:r>
        <w:t xml:space="preserve"> </w:t>
      </w:r>
    </w:p>
    <w:p w:rsidR="001C2506" w:rsidRDefault="00000000">
      <w:pPr>
        <w:pStyle w:val="20"/>
        <w:numPr>
          <w:ilvl w:val="0"/>
          <w:numId w:val="1"/>
        </w:numPr>
      </w:pPr>
      <w:r>
        <w:t>必须为公共函数和类编写文档字符串（</w:t>
      </w:r>
      <w:r>
        <w:t>Docstring</w:t>
      </w:r>
      <w:r>
        <w:t>），说明功能、参数、返回值等信息。</w:t>
      </w:r>
      <w:r>
        <w:t xml:space="preserve"> </w:t>
      </w:r>
    </w:p>
    <w:p w:rsidR="001C2506" w:rsidRDefault="00000000">
      <w:pPr>
        <w:pStyle w:val="20"/>
        <w:numPr>
          <w:ilvl w:val="0"/>
          <w:numId w:val="1"/>
        </w:numPr>
      </w:pPr>
      <w:r>
        <w:t>比较操作中，常量必须放在比较运算符的右侧，如</w:t>
      </w:r>
      <w:r>
        <w:rPr>
          <w:highlight w:val="cyan"/>
          <w:bdr w:val="single" w:sz="4" w:space="0" w:color="DEE0E3"/>
        </w:rPr>
        <w:t>if x == 10:</w:t>
      </w:r>
      <w:r>
        <w:t xml:space="preserve"> </w:t>
      </w:r>
      <w:r>
        <w:t>。</w:t>
      </w:r>
      <w:r>
        <w:t xml:space="preserve"> </w:t>
      </w:r>
    </w:p>
    <w:p w:rsidR="001C2506" w:rsidRDefault="00000000">
      <w:pPr>
        <w:pStyle w:val="20"/>
        <w:numPr>
          <w:ilvl w:val="0"/>
          <w:numId w:val="1"/>
        </w:numPr>
      </w:pPr>
      <w:r>
        <w:t>异常处理时，必须捕获具体的异常类型，禁止使用</w:t>
      </w:r>
      <w:r>
        <w:rPr>
          <w:highlight w:val="cyan"/>
          <w:bdr w:val="single" w:sz="4" w:space="0" w:color="DEE0E3"/>
        </w:rPr>
        <w:t>except:</w:t>
      </w:r>
      <w:r>
        <w:t>捕获所有异常。</w:t>
      </w:r>
      <w:r>
        <w:t xml:space="preserve"> </w:t>
      </w:r>
    </w:p>
    <w:p w:rsidR="001C2506" w:rsidRDefault="00000000">
      <w:pPr>
        <w:pStyle w:val="20"/>
        <w:numPr>
          <w:ilvl w:val="0"/>
          <w:numId w:val="1"/>
        </w:numPr>
      </w:pPr>
      <w:r>
        <w:t>字符串拼接必须使用</w:t>
      </w:r>
      <w:proofErr w:type="spellStart"/>
      <w:r>
        <w:rPr>
          <w:highlight w:val="cyan"/>
          <w:bdr w:val="single" w:sz="4" w:space="0" w:color="DEE0E3"/>
        </w:rPr>
        <w:t>str.join</w:t>
      </w:r>
      <w:proofErr w:type="spellEnd"/>
      <w:r>
        <w:rPr>
          <w:highlight w:val="cyan"/>
          <w:bdr w:val="single" w:sz="4" w:space="0" w:color="DEE0E3"/>
        </w:rPr>
        <w:t>()</w:t>
      </w:r>
      <w:r>
        <w:t>方法，而不是使用</w:t>
      </w:r>
      <w:r>
        <w:rPr>
          <w:highlight w:val="cyan"/>
          <w:bdr w:val="single" w:sz="4" w:space="0" w:color="DEE0E3"/>
        </w:rPr>
        <w:t>+</w:t>
      </w:r>
      <w:r>
        <w:t>运算符（在循环拼接字符串场景）。</w:t>
      </w:r>
      <w:r>
        <w:t xml:space="preserve"> </w:t>
      </w:r>
    </w:p>
    <w:p w:rsidR="001C2506" w:rsidRDefault="00000000">
      <w:pPr>
        <w:pStyle w:val="20"/>
        <w:numPr>
          <w:ilvl w:val="0"/>
          <w:numId w:val="1"/>
        </w:numPr>
      </w:pPr>
      <w:r>
        <w:t>所有全局变量必须在模块顶部定义，且命名使用全大写字母和下划线组合，如</w:t>
      </w:r>
      <w:r>
        <w:rPr>
          <w:highlight w:val="cyan"/>
          <w:bdr w:val="single" w:sz="4" w:space="0" w:color="DEE0E3"/>
        </w:rPr>
        <w:t>MAX_COUNT</w:t>
      </w:r>
      <w:r>
        <w:t>。</w:t>
      </w:r>
      <w:r>
        <w:t xml:space="preserve"> </w:t>
      </w:r>
    </w:p>
    <w:p w:rsidR="001C2506" w:rsidRDefault="00000000">
      <w:pPr>
        <w:pStyle w:val="20"/>
        <w:numPr>
          <w:ilvl w:val="0"/>
          <w:numId w:val="1"/>
        </w:numPr>
      </w:pPr>
      <w:r>
        <w:t>函数参数默认值必须为不可变对象，避免因可变对象默认值导致的意外行为。</w:t>
      </w:r>
      <w:r>
        <w:t xml:space="preserve"> </w:t>
      </w:r>
    </w:p>
    <w:p w:rsidR="001C2506" w:rsidRDefault="00000000">
      <w:pPr>
        <w:pStyle w:val="20"/>
        <w:numPr>
          <w:ilvl w:val="0"/>
          <w:numId w:val="1"/>
        </w:numPr>
      </w:pPr>
      <w:r>
        <w:t>布尔表达式中，禁止将非布尔值直接作为条件，如</w:t>
      </w:r>
      <w:r>
        <w:rPr>
          <w:highlight w:val="cyan"/>
          <w:bdr w:val="single" w:sz="4" w:space="0" w:color="DEE0E3"/>
        </w:rPr>
        <w:t xml:space="preserve">if </w:t>
      </w:r>
      <w:proofErr w:type="spellStart"/>
      <w:r>
        <w:rPr>
          <w:highlight w:val="cyan"/>
          <w:bdr w:val="single" w:sz="4" w:space="0" w:color="DEE0E3"/>
        </w:rPr>
        <w:t>some_list</w:t>
      </w:r>
      <w:proofErr w:type="spellEnd"/>
      <w:r>
        <w:rPr>
          <w:highlight w:val="cyan"/>
          <w:bdr w:val="single" w:sz="4" w:space="0" w:color="DEE0E3"/>
        </w:rPr>
        <w:t>:</w:t>
      </w:r>
      <w:r>
        <w:t xml:space="preserve"> </w:t>
      </w:r>
      <w:r>
        <w:t>需改为</w:t>
      </w:r>
      <w:r>
        <w:rPr>
          <w:highlight w:val="cyan"/>
          <w:bdr w:val="single" w:sz="4" w:space="0" w:color="DEE0E3"/>
        </w:rPr>
        <w:t xml:space="preserve">if </w:t>
      </w:r>
      <w:proofErr w:type="spellStart"/>
      <w:r>
        <w:rPr>
          <w:highlight w:val="cyan"/>
          <w:bdr w:val="single" w:sz="4" w:space="0" w:color="DEE0E3"/>
        </w:rPr>
        <w:t>len</w:t>
      </w:r>
      <w:proofErr w:type="spellEnd"/>
      <w:r>
        <w:rPr>
          <w:highlight w:val="cyan"/>
          <w:bdr w:val="single" w:sz="4" w:space="0" w:color="DEE0E3"/>
        </w:rPr>
        <w:t>(</w:t>
      </w:r>
      <w:proofErr w:type="spellStart"/>
      <w:r>
        <w:rPr>
          <w:highlight w:val="cyan"/>
          <w:bdr w:val="single" w:sz="4" w:space="0" w:color="DEE0E3"/>
        </w:rPr>
        <w:t>some_list</w:t>
      </w:r>
      <w:proofErr w:type="spellEnd"/>
      <w:r>
        <w:rPr>
          <w:highlight w:val="cyan"/>
          <w:bdr w:val="single" w:sz="4" w:space="0" w:color="DEE0E3"/>
        </w:rPr>
        <w:t>) &gt; 0:</w:t>
      </w:r>
      <w:r>
        <w:t xml:space="preserve"> </w:t>
      </w:r>
      <w:r>
        <w:t>。</w:t>
      </w:r>
      <w:r>
        <w:t xml:space="preserve"> </w:t>
      </w:r>
    </w:p>
    <w:p w:rsidR="001C2506" w:rsidRDefault="00000000">
      <w:pPr>
        <w:pStyle w:val="20"/>
        <w:numPr>
          <w:ilvl w:val="0"/>
          <w:numId w:val="1"/>
        </w:numPr>
      </w:pPr>
      <w:r>
        <w:t>字典和列表推导式必须控制复杂度，嵌套层级不能超过</w:t>
      </w:r>
      <w:r>
        <w:t xml:space="preserve"> 2 </w:t>
      </w:r>
      <w:r>
        <w:t>层。</w:t>
      </w:r>
      <w:r>
        <w:t xml:space="preserve"> </w:t>
      </w:r>
    </w:p>
    <w:p w:rsidR="001C2506" w:rsidRDefault="00000000">
      <w:pPr>
        <w:pStyle w:val="20"/>
        <w:numPr>
          <w:ilvl w:val="0"/>
          <w:numId w:val="1"/>
        </w:numPr>
      </w:pPr>
      <w:r>
        <w:t>必须使用</w:t>
      </w:r>
      <w:r>
        <w:rPr>
          <w:highlight w:val="cyan"/>
          <w:bdr w:val="single" w:sz="4" w:space="0" w:color="DEE0E3"/>
        </w:rPr>
        <w:t>with</w:t>
      </w:r>
      <w:r>
        <w:t>语句来处理文件、数据库连接等资源，确保资源正确释放。</w:t>
      </w:r>
      <w:r>
        <w:t xml:space="preserve"> </w:t>
      </w:r>
    </w:p>
    <w:p w:rsidR="001C2506" w:rsidRDefault="00000000">
      <w:pPr>
        <w:pStyle w:val="20"/>
        <w:numPr>
          <w:ilvl w:val="0"/>
          <w:numId w:val="1"/>
        </w:numPr>
      </w:pPr>
      <w:r>
        <w:t>所有模块必须包含</w:t>
      </w:r>
      <w:r>
        <w:rPr>
          <w:highlight w:val="cyan"/>
          <w:bdr w:val="single" w:sz="4" w:space="0" w:color="DEE0E3"/>
        </w:rPr>
        <w:t>__all__</w:t>
      </w:r>
      <w:r>
        <w:t>变量，明确导出的内容。</w:t>
      </w:r>
      <w:r>
        <w:t xml:space="preserve"> </w:t>
      </w:r>
    </w:p>
    <w:p w:rsidR="001C2506" w:rsidRDefault="00000000">
      <w:pPr>
        <w:pStyle w:val="20"/>
        <w:numPr>
          <w:ilvl w:val="0"/>
          <w:numId w:val="1"/>
        </w:numPr>
      </w:pPr>
      <w:r>
        <w:t>代码中禁止出现硬编码的路径、端口号等配置信息，应使用配置文件或环境变量。</w:t>
      </w:r>
      <w:r>
        <w:t xml:space="preserve"> </w:t>
      </w:r>
    </w:p>
    <w:p w:rsidR="001C2506" w:rsidRDefault="00000000">
      <w:pPr>
        <w:pStyle w:val="2"/>
      </w:pPr>
      <w:r>
        <w:t>二、推荐规则</w:t>
      </w:r>
      <w:r>
        <w:t xml:space="preserve"> </w:t>
      </w:r>
    </w:p>
    <w:p w:rsidR="001C2506" w:rsidRDefault="00000000">
      <w:pPr>
        <w:pStyle w:val="20"/>
        <w:numPr>
          <w:ilvl w:val="0"/>
          <w:numId w:val="2"/>
        </w:numPr>
      </w:pPr>
      <w:r>
        <w:lastRenderedPageBreak/>
        <w:t>在定义类时，推荐使用</w:t>
      </w:r>
      <w:r>
        <w:rPr>
          <w:highlight w:val="cyan"/>
          <w:bdr w:val="single" w:sz="4" w:space="0" w:color="DEE0E3"/>
        </w:rPr>
        <w:t>@dataclass</w:t>
      </w:r>
      <w:r>
        <w:t>装饰器来简化类的定义和初始化，如</w:t>
      </w:r>
      <w:r>
        <w:rPr>
          <w:highlight w:val="cyan"/>
          <w:bdr w:val="single" w:sz="4" w:space="0" w:color="DEE0E3"/>
        </w:rPr>
        <w:t>@dataclass</w:t>
      </w:r>
      <w:r>
        <w:t xml:space="preserve"> </w:t>
      </w:r>
      <w:r>
        <w:rPr>
          <w:highlight w:val="cyan"/>
          <w:bdr w:val="single" w:sz="4" w:space="0" w:color="DEE0E3"/>
        </w:rPr>
        <w:t>class Person:</w:t>
      </w:r>
      <w:r>
        <w:t xml:space="preserve"> </w:t>
      </w:r>
      <w:r>
        <w:t>。</w:t>
      </w:r>
      <w:r>
        <w:t xml:space="preserve"> </w:t>
      </w:r>
    </w:p>
    <w:p w:rsidR="001C2506" w:rsidRDefault="00000000">
      <w:pPr>
        <w:pStyle w:val="20"/>
        <w:numPr>
          <w:ilvl w:val="0"/>
          <w:numId w:val="2"/>
        </w:numPr>
      </w:pPr>
      <w:r>
        <w:t>推荐使用</w:t>
      </w:r>
      <w:r>
        <w:rPr>
          <w:highlight w:val="cyan"/>
          <w:bdr w:val="single" w:sz="4" w:space="0" w:color="DEE0E3"/>
        </w:rPr>
        <w:t>logging</w:t>
      </w:r>
      <w:r>
        <w:t>模块进行日志记录，而不是直接打印输出。</w:t>
      </w:r>
      <w:r>
        <w:t xml:space="preserve"> </w:t>
      </w:r>
    </w:p>
    <w:p w:rsidR="001C2506" w:rsidRDefault="00000000">
      <w:pPr>
        <w:pStyle w:val="20"/>
        <w:numPr>
          <w:ilvl w:val="0"/>
          <w:numId w:val="2"/>
        </w:numPr>
      </w:pPr>
      <w:r>
        <w:t>对于复杂的条件判断，推荐使用</w:t>
      </w:r>
      <w:r>
        <w:rPr>
          <w:highlight w:val="cyan"/>
          <w:bdr w:val="single" w:sz="4" w:space="0" w:color="DEE0E3"/>
        </w:rPr>
        <w:t>if-</w:t>
      </w:r>
      <w:proofErr w:type="spellStart"/>
      <w:r>
        <w:rPr>
          <w:highlight w:val="cyan"/>
          <w:bdr w:val="single" w:sz="4" w:space="0" w:color="DEE0E3"/>
        </w:rPr>
        <w:t>elif</w:t>
      </w:r>
      <w:proofErr w:type="spellEnd"/>
      <w:r>
        <w:rPr>
          <w:highlight w:val="cyan"/>
          <w:bdr w:val="single" w:sz="4" w:space="0" w:color="DEE0E3"/>
        </w:rPr>
        <w:t>-else</w:t>
      </w:r>
      <w:r>
        <w:t>结构，提高代码可读性。</w:t>
      </w:r>
      <w:r>
        <w:t xml:space="preserve"> </w:t>
      </w:r>
    </w:p>
    <w:p w:rsidR="001C2506" w:rsidRDefault="00000000">
      <w:pPr>
        <w:pStyle w:val="20"/>
        <w:numPr>
          <w:ilvl w:val="0"/>
          <w:numId w:val="2"/>
        </w:numPr>
      </w:pPr>
      <w:r>
        <w:t>推荐使用</w:t>
      </w:r>
      <w:r>
        <w:rPr>
          <w:highlight w:val="cyan"/>
          <w:bdr w:val="single" w:sz="4" w:space="0" w:color="DEE0E3"/>
        </w:rPr>
        <w:t>typing</w:t>
      </w:r>
      <w:r>
        <w:t>模块进行类型注解，提高代码的可维护性和可读性。</w:t>
      </w:r>
      <w:r>
        <w:t xml:space="preserve"> </w:t>
      </w:r>
    </w:p>
    <w:p w:rsidR="001C2506" w:rsidRDefault="00000000">
      <w:pPr>
        <w:pStyle w:val="20"/>
        <w:numPr>
          <w:ilvl w:val="0"/>
          <w:numId w:val="2"/>
        </w:numPr>
      </w:pPr>
      <w:r>
        <w:t>当函数返回多个值时，推荐使用元组或</w:t>
      </w:r>
      <w:proofErr w:type="spellStart"/>
      <w:r>
        <w:rPr>
          <w:highlight w:val="cyan"/>
          <w:bdr w:val="single" w:sz="4" w:space="0" w:color="DEE0E3"/>
        </w:rPr>
        <w:t>namedtuple</w:t>
      </w:r>
      <w:proofErr w:type="spellEnd"/>
      <w:r>
        <w:t>，而不是多个单独的返回语句。</w:t>
      </w:r>
      <w:r>
        <w:t xml:space="preserve"> </w:t>
      </w:r>
    </w:p>
    <w:p w:rsidR="001C2506" w:rsidRDefault="00000000">
      <w:pPr>
        <w:pStyle w:val="20"/>
        <w:numPr>
          <w:ilvl w:val="0"/>
          <w:numId w:val="2"/>
        </w:numPr>
      </w:pPr>
      <w:r>
        <w:t>推荐使用</w:t>
      </w:r>
      <w:proofErr w:type="spellStart"/>
      <w:r>
        <w:rPr>
          <w:highlight w:val="cyan"/>
          <w:bdr w:val="single" w:sz="4" w:space="0" w:color="DEE0E3"/>
        </w:rPr>
        <w:t>enum.Enum</w:t>
      </w:r>
      <w:proofErr w:type="spellEnd"/>
      <w:r>
        <w:t>来定义枚举类型，增强代码的语义性和可读性。</w:t>
      </w:r>
      <w:r>
        <w:t xml:space="preserve"> </w:t>
      </w:r>
    </w:p>
    <w:p w:rsidR="001C2506" w:rsidRDefault="00000000">
      <w:pPr>
        <w:pStyle w:val="20"/>
        <w:numPr>
          <w:ilvl w:val="0"/>
          <w:numId w:val="2"/>
        </w:numPr>
      </w:pPr>
      <w:r>
        <w:t>在使用循环时，推荐使用</w:t>
      </w:r>
      <w:r>
        <w:rPr>
          <w:highlight w:val="cyan"/>
          <w:bdr w:val="single" w:sz="4" w:space="0" w:color="DEE0E3"/>
        </w:rPr>
        <w:t>for</w:t>
      </w:r>
      <w:r>
        <w:t>循环遍历可迭代对象，而不是使用</w:t>
      </w:r>
      <w:r>
        <w:rPr>
          <w:highlight w:val="cyan"/>
          <w:bdr w:val="single" w:sz="4" w:space="0" w:color="DEE0E3"/>
        </w:rPr>
        <w:t>while</w:t>
      </w:r>
      <w:r>
        <w:t>循环（在明确可迭代场景）。</w:t>
      </w:r>
      <w:r>
        <w:t xml:space="preserve"> </w:t>
      </w:r>
    </w:p>
    <w:p w:rsidR="001C2506" w:rsidRDefault="00000000">
      <w:pPr>
        <w:pStyle w:val="20"/>
        <w:numPr>
          <w:ilvl w:val="0"/>
          <w:numId w:val="2"/>
        </w:numPr>
      </w:pPr>
      <w:r>
        <w:t>推荐在模块顶部添加版权声明和作者信息。</w:t>
      </w:r>
      <w:r>
        <w:t xml:space="preserve"> </w:t>
      </w:r>
    </w:p>
    <w:p w:rsidR="001C2506" w:rsidRDefault="00000000">
      <w:pPr>
        <w:pStyle w:val="20"/>
        <w:numPr>
          <w:ilvl w:val="0"/>
          <w:numId w:val="2"/>
        </w:numPr>
      </w:pPr>
      <w:r>
        <w:t>对于较长的表达式，推荐使用括号来提高可读性，如</w:t>
      </w:r>
      <w:r>
        <w:rPr>
          <w:highlight w:val="cyan"/>
          <w:bdr w:val="single" w:sz="4" w:space="0" w:color="DEE0E3"/>
        </w:rPr>
        <w:t>result = ((a + b) * (c - d)) / e</w:t>
      </w:r>
      <w:r>
        <w:t xml:space="preserve"> </w:t>
      </w:r>
      <w:r>
        <w:t>。</w:t>
      </w:r>
      <w:r>
        <w:t xml:space="preserve"> </w:t>
      </w:r>
    </w:p>
    <w:p w:rsidR="001C2506" w:rsidRDefault="00000000">
      <w:pPr>
        <w:pStyle w:val="20"/>
        <w:numPr>
          <w:ilvl w:val="0"/>
          <w:numId w:val="2"/>
        </w:numPr>
      </w:pPr>
      <w:r>
        <w:t>推荐使用</w:t>
      </w:r>
      <w:proofErr w:type="spellStart"/>
      <w:r>
        <w:rPr>
          <w:highlight w:val="cyan"/>
          <w:bdr w:val="single" w:sz="4" w:space="0" w:color="DEE0E3"/>
        </w:rPr>
        <w:t>functools.lru_cache</w:t>
      </w:r>
      <w:proofErr w:type="spellEnd"/>
      <w:r>
        <w:t>装饰器对频繁调用且结果不常变的函数进行缓存，提高性能。</w:t>
      </w:r>
      <w:r>
        <w:t xml:space="preserve"> </w:t>
      </w:r>
    </w:p>
    <w:p w:rsidR="001C2506" w:rsidRDefault="00000000">
      <w:pPr>
        <w:pStyle w:val="20"/>
        <w:numPr>
          <w:ilvl w:val="0"/>
          <w:numId w:val="2"/>
        </w:numPr>
      </w:pPr>
      <w:r>
        <w:t>当处理集合类型数据时，推荐使用集合操作符（如</w:t>
      </w:r>
      <w:r>
        <w:rPr>
          <w:highlight w:val="cyan"/>
          <w:bdr w:val="single" w:sz="4" w:space="0" w:color="DEE0E3"/>
        </w:rPr>
        <w:t>&amp;</w:t>
      </w:r>
      <w:r>
        <w:t>、</w:t>
      </w:r>
      <w:r>
        <w:rPr>
          <w:highlight w:val="cyan"/>
          <w:bdr w:val="single" w:sz="4" w:space="0" w:color="DEE0E3"/>
        </w:rPr>
        <w:t>|</w:t>
      </w:r>
      <w:r>
        <w:t>）来替代循环实现交集、并集等操作。</w:t>
      </w:r>
      <w:r>
        <w:t xml:space="preserve"> </w:t>
      </w:r>
    </w:p>
    <w:p w:rsidR="001C2506" w:rsidRDefault="00000000">
      <w:pPr>
        <w:pStyle w:val="20"/>
        <w:numPr>
          <w:ilvl w:val="0"/>
          <w:numId w:val="2"/>
        </w:numPr>
      </w:pPr>
      <w:r>
        <w:t>推荐使用</w:t>
      </w:r>
      <w:proofErr w:type="spellStart"/>
      <w:r>
        <w:rPr>
          <w:highlight w:val="cyan"/>
          <w:bdr w:val="single" w:sz="4" w:space="0" w:color="DEE0E3"/>
        </w:rPr>
        <w:t>contextlib.contextmanager</w:t>
      </w:r>
      <w:proofErr w:type="spellEnd"/>
      <w:r>
        <w:t>装饰器自定义上下文管理器，简化资源管理代码。</w:t>
      </w:r>
      <w:r>
        <w:t xml:space="preserve"> </w:t>
      </w:r>
    </w:p>
    <w:p w:rsidR="001C2506" w:rsidRDefault="00000000">
      <w:pPr>
        <w:pStyle w:val="20"/>
        <w:numPr>
          <w:ilvl w:val="0"/>
          <w:numId w:val="2"/>
        </w:numPr>
      </w:pPr>
      <w:r>
        <w:t>对于较大的项目，推荐使用</w:t>
      </w:r>
      <w:proofErr w:type="spellStart"/>
      <w:r>
        <w:rPr>
          <w:highlight w:val="cyan"/>
          <w:bdr w:val="single" w:sz="4" w:space="0" w:color="DEE0E3"/>
        </w:rPr>
        <w:t>pytest</w:t>
      </w:r>
      <w:proofErr w:type="spellEnd"/>
      <w:r>
        <w:t>进行单元测试，并遵循测试用例命名规范（如</w:t>
      </w:r>
      <w:proofErr w:type="spellStart"/>
      <w:r>
        <w:rPr>
          <w:highlight w:val="cyan"/>
          <w:bdr w:val="single" w:sz="4" w:space="0" w:color="DEE0E3"/>
        </w:rPr>
        <w:t>test_function_name</w:t>
      </w:r>
      <w:proofErr w:type="spellEnd"/>
      <w:r>
        <w:t>）。</w:t>
      </w:r>
      <w:r>
        <w:t xml:space="preserve"> </w:t>
      </w:r>
    </w:p>
    <w:p w:rsidR="001C2506" w:rsidRDefault="00000000">
      <w:pPr>
        <w:pStyle w:val="20"/>
        <w:numPr>
          <w:ilvl w:val="0"/>
          <w:numId w:val="2"/>
        </w:numPr>
      </w:pPr>
      <w:r>
        <w:t>推荐使用</w:t>
      </w:r>
      <w:r>
        <w:rPr>
          <w:highlight w:val="cyan"/>
          <w:bdr w:val="single" w:sz="4" w:space="0" w:color="DEE0E3"/>
        </w:rPr>
        <w:t>flake8</w:t>
      </w:r>
      <w:r>
        <w:t>、</w:t>
      </w:r>
      <w:proofErr w:type="spellStart"/>
      <w:r>
        <w:rPr>
          <w:highlight w:val="cyan"/>
          <w:bdr w:val="single" w:sz="4" w:space="0" w:color="DEE0E3"/>
        </w:rPr>
        <w:t>pylint</w:t>
      </w:r>
      <w:proofErr w:type="spellEnd"/>
      <w:r>
        <w:t>等工具进行代码静态检查，及时发现潜在问题。</w:t>
      </w:r>
      <w:r>
        <w:t xml:space="preserve"> </w:t>
      </w:r>
    </w:p>
    <w:p w:rsidR="001C2506" w:rsidRDefault="00000000">
      <w:pPr>
        <w:pStyle w:val="20"/>
        <w:numPr>
          <w:ilvl w:val="0"/>
          <w:numId w:val="2"/>
        </w:numPr>
      </w:pPr>
      <w:r>
        <w:t>当处理日期和时间时，推荐使用</w:t>
      </w:r>
      <w:r>
        <w:rPr>
          <w:highlight w:val="cyan"/>
          <w:bdr w:val="single" w:sz="4" w:space="0" w:color="DEE0E3"/>
        </w:rPr>
        <w:t>datetime</w:t>
      </w:r>
      <w:r>
        <w:t>模块中的相关类和方法，避免使用字符串进行复杂的日期时间计算。</w:t>
      </w:r>
      <w:r>
        <w:t xml:space="preserve"> </w:t>
      </w:r>
    </w:p>
    <w:p w:rsidR="001C2506" w:rsidRDefault="00000000">
      <w:pPr>
        <w:pStyle w:val="20"/>
        <w:numPr>
          <w:ilvl w:val="0"/>
          <w:numId w:val="2"/>
        </w:numPr>
      </w:pPr>
      <w:r>
        <w:t>推荐使用</w:t>
      </w:r>
      <w:proofErr w:type="spellStart"/>
      <w:r>
        <w:rPr>
          <w:highlight w:val="cyan"/>
          <w:bdr w:val="single" w:sz="4" w:space="0" w:color="DEE0E3"/>
        </w:rPr>
        <w:t>pathlib</w:t>
      </w:r>
      <w:proofErr w:type="spellEnd"/>
      <w:r>
        <w:t>模块来处理文件路径，提高跨平台兼容性。</w:t>
      </w:r>
      <w:r>
        <w:t xml:space="preserve"> </w:t>
      </w:r>
    </w:p>
    <w:p w:rsidR="001C2506" w:rsidRDefault="00000000">
      <w:pPr>
        <w:pStyle w:val="20"/>
        <w:numPr>
          <w:ilvl w:val="0"/>
          <w:numId w:val="2"/>
        </w:numPr>
      </w:pPr>
      <w:r>
        <w:t>在编写</w:t>
      </w:r>
      <w:r>
        <w:t xml:space="preserve"> SQL </w:t>
      </w:r>
      <w:r>
        <w:t>语句时，推荐使用参数化查询，避免</w:t>
      </w:r>
      <w:r>
        <w:t xml:space="preserve"> SQL </w:t>
      </w:r>
      <w:r>
        <w:t>注入风险。</w:t>
      </w:r>
      <w:r>
        <w:t xml:space="preserve"> </w:t>
      </w:r>
    </w:p>
    <w:p w:rsidR="001C2506" w:rsidRDefault="00000000">
      <w:pPr>
        <w:pStyle w:val="20"/>
        <w:numPr>
          <w:ilvl w:val="0"/>
          <w:numId w:val="2"/>
        </w:numPr>
      </w:pPr>
      <w:r>
        <w:t>对于常量定义，推荐使用</w:t>
      </w:r>
      <w:proofErr w:type="spellStart"/>
      <w:r>
        <w:rPr>
          <w:highlight w:val="cyan"/>
          <w:bdr w:val="single" w:sz="4" w:space="0" w:color="DEE0E3"/>
        </w:rPr>
        <w:t>typing.Final</w:t>
      </w:r>
      <w:proofErr w:type="spellEnd"/>
      <w:r>
        <w:t>进行类型标注，明确其不可变性。</w:t>
      </w:r>
      <w:r>
        <w:t xml:space="preserve"> </w:t>
      </w:r>
    </w:p>
    <w:p w:rsidR="001C2506" w:rsidRDefault="00000000">
      <w:pPr>
        <w:pStyle w:val="20"/>
        <w:numPr>
          <w:ilvl w:val="0"/>
          <w:numId w:val="2"/>
        </w:numPr>
      </w:pPr>
      <w:r>
        <w:t>推荐在项目中使用</w:t>
      </w:r>
      <w:r>
        <w:rPr>
          <w:highlight w:val="cyan"/>
          <w:bdr w:val="single" w:sz="4" w:space="0" w:color="DEE0E3"/>
        </w:rPr>
        <w:t>requirements.txt</w:t>
      </w:r>
      <w:r>
        <w:t>文件来管理第三方库依赖，并使用</w:t>
      </w:r>
      <w:r>
        <w:rPr>
          <w:highlight w:val="cyan"/>
          <w:bdr w:val="single" w:sz="4" w:space="0" w:color="DEE0E3"/>
        </w:rPr>
        <w:t>pip freeze &gt; requirements.txt</w:t>
      </w:r>
      <w:r>
        <w:t>命令更新。</w:t>
      </w:r>
      <w:r>
        <w:t xml:space="preserve"> </w:t>
      </w:r>
    </w:p>
    <w:p w:rsidR="001C2506" w:rsidRDefault="00000000">
      <w:pPr>
        <w:pStyle w:val="20"/>
        <w:numPr>
          <w:ilvl w:val="0"/>
          <w:numId w:val="2"/>
        </w:numPr>
      </w:pPr>
      <w:r>
        <w:t>当代码中存在魔法数字（</w:t>
      </w:r>
      <w:r>
        <w:t>Magic Number</w:t>
      </w:r>
      <w:r>
        <w:t>）时，推荐将其定义为常量，并使用有意义的命名。</w:t>
      </w:r>
      <w:r>
        <w:t xml:space="preserve"> </w:t>
      </w:r>
    </w:p>
    <w:p w:rsidR="001C2506" w:rsidRDefault="00000000">
      <w:pPr>
        <w:pStyle w:val="2"/>
      </w:pPr>
      <w:r>
        <w:t>三、允许规则</w:t>
      </w:r>
      <w:r>
        <w:t xml:space="preserve"> </w:t>
      </w:r>
    </w:p>
    <w:p w:rsidR="001C2506" w:rsidRDefault="00000000">
      <w:pPr>
        <w:pStyle w:val="20"/>
        <w:numPr>
          <w:ilvl w:val="0"/>
          <w:numId w:val="3"/>
        </w:numPr>
      </w:pPr>
      <w:r>
        <w:lastRenderedPageBreak/>
        <w:t>可以使用</w:t>
      </w:r>
      <w:r>
        <w:rPr>
          <w:highlight w:val="cyan"/>
          <w:bdr w:val="single" w:sz="4" w:space="0" w:color="DEE0E3"/>
        </w:rPr>
        <w:t>pass</w:t>
      </w:r>
      <w:r>
        <w:t>语句作为占位符，用于暂时未实现功能的函数、类或代码块。</w:t>
      </w:r>
      <w:r>
        <w:t xml:space="preserve"> </w:t>
      </w:r>
    </w:p>
    <w:p w:rsidR="001C2506" w:rsidRDefault="00000000">
      <w:pPr>
        <w:pStyle w:val="20"/>
        <w:numPr>
          <w:ilvl w:val="0"/>
          <w:numId w:val="3"/>
        </w:numPr>
      </w:pPr>
      <w:r>
        <w:t>允许在必要时使用</w:t>
      </w:r>
      <w:r>
        <w:rPr>
          <w:highlight w:val="cyan"/>
          <w:bdr w:val="single" w:sz="4" w:space="0" w:color="DEE0E3"/>
        </w:rPr>
        <w:t>assert</w:t>
      </w:r>
      <w:r>
        <w:t>语句进行调试，但在生产环境中应确保</w:t>
      </w:r>
      <w:r>
        <w:rPr>
          <w:highlight w:val="cyan"/>
          <w:bdr w:val="single" w:sz="4" w:space="0" w:color="DEE0E3"/>
        </w:rPr>
        <w:t>assert</w:t>
      </w:r>
      <w:r>
        <w:t>语句不会影响程序逻辑（可通过命令行参数控制</w:t>
      </w:r>
      <w:r>
        <w:rPr>
          <w:highlight w:val="cyan"/>
          <w:bdr w:val="single" w:sz="4" w:space="0" w:color="DEE0E3"/>
        </w:rPr>
        <w:t>assert</w:t>
      </w:r>
      <w:r>
        <w:t>行为）。</w:t>
      </w:r>
      <w:r>
        <w:t xml:space="preserve"> </w:t>
      </w:r>
    </w:p>
    <w:p w:rsidR="001C2506" w:rsidRDefault="00000000">
      <w:pPr>
        <w:pStyle w:val="20"/>
        <w:numPr>
          <w:ilvl w:val="0"/>
          <w:numId w:val="3"/>
        </w:numPr>
      </w:pPr>
      <w:r>
        <w:t>允许使用</w:t>
      </w:r>
      <w:r>
        <w:rPr>
          <w:highlight w:val="cyan"/>
          <w:bdr w:val="single" w:sz="4" w:space="0" w:color="DEE0E3"/>
        </w:rPr>
        <w:t>global</w:t>
      </w:r>
      <w:r>
        <w:t>关键字在函数内部访问和修改全局变量，但应谨慎使用，避免代码难以理解和维护。</w:t>
      </w:r>
      <w:r>
        <w:t xml:space="preserve"> </w:t>
      </w:r>
    </w:p>
    <w:p w:rsidR="001C2506" w:rsidRDefault="00000000">
      <w:pPr>
        <w:pStyle w:val="20"/>
        <w:numPr>
          <w:ilvl w:val="0"/>
          <w:numId w:val="3"/>
        </w:numPr>
      </w:pPr>
      <w:r>
        <w:t>可以使用</w:t>
      </w:r>
      <w:r>
        <w:rPr>
          <w:highlight w:val="cyan"/>
          <w:bdr w:val="single" w:sz="4" w:space="0" w:color="DEE0E3"/>
        </w:rPr>
        <w:t>yield</w:t>
      </w:r>
      <w:r>
        <w:t>关键字定义生成器函数，以实现延迟计算和节省内存。</w:t>
      </w:r>
      <w:r>
        <w:t xml:space="preserve"> </w:t>
      </w:r>
    </w:p>
    <w:p w:rsidR="001C2506" w:rsidRDefault="00000000">
      <w:pPr>
        <w:pStyle w:val="20"/>
        <w:numPr>
          <w:ilvl w:val="0"/>
          <w:numId w:val="3"/>
        </w:numPr>
      </w:pPr>
      <w:r>
        <w:t>允许使用</w:t>
      </w:r>
      <w:r>
        <w:rPr>
          <w:highlight w:val="cyan"/>
          <w:bdr w:val="single" w:sz="4" w:space="0" w:color="DEE0E3"/>
        </w:rPr>
        <w:t>lambda</w:t>
      </w:r>
      <w:r>
        <w:t>表达式定义简短的匿名函数，但应确保其功能简单明了，不影响代码可读性。</w:t>
      </w:r>
      <w:r>
        <w:t xml:space="preserve"> </w:t>
      </w:r>
    </w:p>
    <w:p w:rsidR="001C2506" w:rsidRDefault="00000000">
      <w:pPr>
        <w:pStyle w:val="20"/>
        <w:numPr>
          <w:ilvl w:val="0"/>
          <w:numId w:val="3"/>
        </w:numPr>
      </w:pPr>
      <w:r>
        <w:t>可以使用</w:t>
      </w:r>
      <w:r>
        <w:rPr>
          <w:highlight w:val="cyan"/>
          <w:bdr w:val="single" w:sz="4" w:space="0" w:color="DEE0E3"/>
        </w:rPr>
        <w:t>try-except-else</w:t>
      </w:r>
      <w:r>
        <w:t>结构，在</w:t>
      </w:r>
      <w:r>
        <w:rPr>
          <w:highlight w:val="cyan"/>
          <w:bdr w:val="single" w:sz="4" w:space="0" w:color="DEE0E3"/>
        </w:rPr>
        <w:t>except</w:t>
      </w:r>
      <w:r>
        <w:t>块捕获异常，在</w:t>
      </w:r>
      <w:r>
        <w:rPr>
          <w:highlight w:val="cyan"/>
          <w:bdr w:val="single" w:sz="4" w:space="0" w:color="DEE0E3"/>
        </w:rPr>
        <w:t>else</w:t>
      </w:r>
      <w:r>
        <w:t>块处理无异常时的逻辑。</w:t>
      </w:r>
      <w:r>
        <w:t xml:space="preserve"> </w:t>
      </w:r>
    </w:p>
    <w:p w:rsidR="001C2506" w:rsidRDefault="00000000">
      <w:pPr>
        <w:pStyle w:val="20"/>
        <w:numPr>
          <w:ilvl w:val="0"/>
          <w:numId w:val="3"/>
        </w:numPr>
      </w:pPr>
      <w:r>
        <w:t>允许在代码中使用</w:t>
      </w:r>
      <w:r>
        <w:rPr>
          <w:highlight w:val="cyan"/>
          <w:bdr w:val="single" w:sz="4" w:space="0" w:color="DEE0E3"/>
        </w:rPr>
        <w:t>print</w:t>
      </w:r>
      <w:r>
        <w:t>语句进行简单的调试输出，但在正式发布的代码中应删除或替换为日志记录。</w:t>
      </w:r>
      <w:r>
        <w:t xml:space="preserve"> </w:t>
      </w:r>
    </w:p>
    <w:p w:rsidR="001C2506" w:rsidRDefault="00000000">
      <w:pPr>
        <w:pStyle w:val="20"/>
        <w:numPr>
          <w:ilvl w:val="0"/>
          <w:numId w:val="3"/>
        </w:numPr>
      </w:pPr>
      <w:r>
        <w:t>可以根据具体需求选择使用列表、元组、集合或字典等数据结构。</w:t>
      </w:r>
      <w:r>
        <w:t xml:space="preserve"> </w:t>
      </w:r>
    </w:p>
    <w:p w:rsidR="001C2506" w:rsidRDefault="00000000">
      <w:pPr>
        <w:pStyle w:val="20"/>
        <w:numPr>
          <w:ilvl w:val="0"/>
          <w:numId w:val="3"/>
        </w:numPr>
      </w:pPr>
      <w:r>
        <w:t>允许使用</w:t>
      </w:r>
      <w:r>
        <w:rPr>
          <w:highlight w:val="cyan"/>
          <w:bdr w:val="single" w:sz="4" w:space="0" w:color="DEE0E3"/>
        </w:rPr>
        <w:t>import as</w:t>
      </w:r>
      <w:r>
        <w:t>语句为导入的模块或对象指定别名，以简化代码书写，如</w:t>
      </w:r>
      <w:r>
        <w:rPr>
          <w:highlight w:val="cyan"/>
          <w:bdr w:val="single" w:sz="4" w:space="0" w:color="DEE0E3"/>
        </w:rPr>
        <w:t xml:space="preserve">import </w:t>
      </w:r>
      <w:proofErr w:type="spellStart"/>
      <w:r>
        <w:rPr>
          <w:highlight w:val="cyan"/>
          <w:bdr w:val="single" w:sz="4" w:space="0" w:color="DEE0E3"/>
        </w:rPr>
        <w:t>numpy</w:t>
      </w:r>
      <w:proofErr w:type="spellEnd"/>
      <w:r>
        <w:rPr>
          <w:highlight w:val="cyan"/>
          <w:bdr w:val="single" w:sz="4" w:space="0" w:color="DEE0E3"/>
        </w:rPr>
        <w:t xml:space="preserve"> as np</w:t>
      </w:r>
      <w:r>
        <w:t xml:space="preserve"> </w:t>
      </w:r>
      <w:r>
        <w:t>。</w:t>
      </w:r>
      <w:r>
        <w:t xml:space="preserve"> </w:t>
      </w:r>
    </w:p>
    <w:p w:rsidR="001C2506" w:rsidRDefault="00000000">
      <w:pPr>
        <w:pStyle w:val="20"/>
        <w:numPr>
          <w:ilvl w:val="0"/>
          <w:numId w:val="3"/>
        </w:numPr>
      </w:pPr>
      <w:r>
        <w:t>可以使用</w:t>
      </w:r>
      <w:r>
        <w:rPr>
          <w:highlight w:val="cyan"/>
          <w:bdr w:val="single" w:sz="4" w:space="0" w:color="DEE0E3"/>
        </w:rPr>
        <w:t>super()</w:t>
      </w:r>
      <w:r>
        <w:t>函数调用父类的方法，实现方法重写和继承。</w:t>
      </w:r>
      <w:r>
        <w:t xml:space="preserve"> </w:t>
      </w:r>
    </w:p>
    <w:p w:rsidR="001C2506" w:rsidRDefault="00000000">
      <w:pPr>
        <w:pStyle w:val="20"/>
        <w:numPr>
          <w:ilvl w:val="0"/>
          <w:numId w:val="3"/>
        </w:numPr>
      </w:pPr>
      <w:r>
        <w:t>允许在类中定义</w:t>
      </w:r>
      <w:r>
        <w:rPr>
          <w:highlight w:val="cyan"/>
          <w:bdr w:val="single" w:sz="4" w:space="0" w:color="DEE0E3"/>
        </w:rPr>
        <w:t>__</w:t>
      </w:r>
      <w:proofErr w:type="spellStart"/>
      <w:r>
        <w:rPr>
          <w:highlight w:val="cyan"/>
          <w:bdr w:val="single" w:sz="4" w:space="0" w:color="DEE0E3"/>
        </w:rPr>
        <w:t>init</w:t>
      </w:r>
      <w:proofErr w:type="spellEnd"/>
      <w:r>
        <w:rPr>
          <w:highlight w:val="cyan"/>
          <w:bdr w:val="single" w:sz="4" w:space="0" w:color="DEE0E3"/>
        </w:rPr>
        <w:t>__</w:t>
      </w:r>
      <w:r>
        <w:t>方法以外的其他特殊方法（如</w:t>
      </w:r>
      <w:r>
        <w:rPr>
          <w:highlight w:val="cyan"/>
          <w:bdr w:val="single" w:sz="4" w:space="0" w:color="DEE0E3"/>
        </w:rPr>
        <w:t>__str__</w:t>
      </w:r>
      <w:r>
        <w:t>、</w:t>
      </w:r>
      <w:r>
        <w:rPr>
          <w:highlight w:val="cyan"/>
          <w:bdr w:val="single" w:sz="4" w:space="0" w:color="DEE0E3"/>
        </w:rPr>
        <w:t>__</w:t>
      </w:r>
      <w:proofErr w:type="spellStart"/>
      <w:r>
        <w:rPr>
          <w:highlight w:val="cyan"/>
          <w:bdr w:val="single" w:sz="4" w:space="0" w:color="DEE0E3"/>
        </w:rPr>
        <w:t>repr</w:t>
      </w:r>
      <w:proofErr w:type="spellEnd"/>
      <w:r>
        <w:rPr>
          <w:highlight w:val="cyan"/>
          <w:bdr w:val="single" w:sz="4" w:space="0" w:color="DEE0E3"/>
        </w:rPr>
        <w:t>__</w:t>
      </w:r>
      <w:r>
        <w:t>），以提供自定义的对象表示和输出。</w:t>
      </w:r>
      <w:r>
        <w:t xml:space="preserve"> </w:t>
      </w:r>
    </w:p>
    <w:p w:rsidR="001C2506" w:rsidRDefault="00000000">
      <w:pPr>
        <w:pStyle w:val="20"/>
        <w:numPr>
          <w:ilvl w:val="0"/>
          <w:numId w:val="3"/>
        </w:numPr>
      </w:pPr>
      <w:r>
        <w:t>可以使用</w:t>
      </w:r>
      <w:r>
        <w:rPr>
          <w:highlight w:val="cyan"/>
          <w:bdr w:val="single" w:sz="4" w:space="0" w:color="DEE0E3"/>
        </w:rPr>
        <w:t>if __name__ == "__main__"</w:t>
      </w:r>
      <w:r>
        <w:t>语句来定义模块的主执行入口，方便模块的测试和运行。</w:t>
      </w:r>
      <w:r>
        <w:t xml:space="preserve"> </w:t>
      </w:r>
    </w:p>
    <w:p w:rsidR="001C2506" w:rsidRDefault="00000000">
      <w:pPr>
        <w:pStyle w:val="20"/>
        <w:numPr>
          <w:ilvl w:val="0"/>
          <w:numId w:val="3"/>
        </w:numPr>
      </w:pPr>
      <w:r>
        <w:t>允许在代码中使用</w:t>
      </w:r>
      <w:proofErr w:type="spellStart"/>
      <w:r>
        <w:rPr>
          <w:highlight w:val="cyan"/>
          <w:bdr w:val="single" w:sz="4" w:space="0" w:color="DEE0E3"/>
        </w:rPr>
        <w:t>importlib</w:t>
      </w:r>
      <w:proofErr w:type="spellEnd"/>
      <w:r>
        <w:t>模块动态导入模块，实现更灵活的代码结构。</w:t>
      </w:r>
      <w:r>
        <w:t xml:space="preserve"> </w:t>
      </w:r>
    </w:p>
    <w:p w:rsidR="001C2506" w:rsidRDefault="00000000">
      <w:pPr>
        <w:pStyle w:val="20"/>
        <w:numPr>
          <w:ilvl w:val="0"/>
          <w:numId w:val="3"/>
        </w:numPr>
      </w:pPr>
      <w:r>
        <w:t>可以根据项目需求选择使用合适的</w:t>
      </w:r>
      <w:r>
        <w:t xml:space="preserve"> Python </w:t>
      </w:r>
      <w:r>
        <w:t>版本和第三方库。</w:t>
      </w:r>
      <w:r>
        <w:t xml:space="preserve"> </w:t>
      </w:r>
    </w:p>
    <w:p w:rsidR="001C2506" w:rsidRDefault="00000000">
      <w:pPr>
        <w:pStyle w:val="20"/>
        <w:numPr>
          <w:ilvl w:val="0"/>
          <w:numId w:val="3"/>
        </w:numPr>
      </w:pPr>
      <w:r>
        <w:t>允许在代码中使用注释来解释复杂的逻辑或算法，但注释应简洁明了，避免过多冗余。</w:t>
      </w:r>
      <w:r>
        <w:t xml:space="preserve"> </w:t>
      </w:r>
    </w:p>
    <w:p w:rsidR="001C2506" w:rsidRDefault="00000000">
      <w:pPr>
        <w:pStyle w:val="20"/>
        <w:numPr>
          <w:ilvl w:val="0"/>
          <w:numId w:val="3"/>
        </w:numPr>
      </w:pPr>
      <w:r>
        <w:t>可以使用</w:t>
      </w:r>
      <w:r>
        <w:rPr>
          <w:highlight w:val="cyan"/>
          <w:bdr w:val="single" w:sz="4" w:space="0" w:color="DEE0E3"/>
        </w:rPr>
        <w:t>zip</w:t>
      </w:r>
      <w:r>
        <w:t>函数同时遍历多个可迭代对象。</w:t>
      </w:r>
      <w:r>
        <w:t xml:space="preserve"> </w:t>
      </w:r>
    </w:p>
    <w:p w:rsidR="001C2506" w:rsidRDefault="00000000">
      <w:pPr>
        <w:pStyle w:val="20"/>
        <w:numPr>
          <w:ilvl w:val="0"/>
          <w:numId w:val="3"/>
        </w:numPr>
      </w:pPr>
      <w:r>
        <w:t>允许使用</w:t>
      </w:r>
      <w:r>
        <w:rPr>
          <w:highlight w:val="cyan"/>
          <w:bdr w:val="single" w:sz="4" w:space="0" w:color="DEE0E3"/>
        </w:rPr>
        <w:t>filter</w:t>
      </w:r>
      <w:r>
        <w:t>和</w:t>
      </w:r>
      <w:r>
        <w:rPr>
          <w:highlight w:val="cyan"/>
          <w:bdr w:val="single" w:sz="4" w:space="0" w:color="DEE0E3"/>
        </w:rPr>
        <w:t>map</w:t>
      </w:r>
      <w:r>
        <w:t>函数对可迭代对象进行过滤和转换操作。</w:t>
      </w:r>
      <w:r>
        <w:t xml:space="preserve"> </w:t>
      </w:r>
    </w:p>
    <w:p w:rsidR="001C2506" w:rsidRDefault="00000000">
      <w:pPr>
        <w:pStyle w:val="20"/>
        <w:numPr>
          <w:ilvl w:val="0"/>
          <w:numId w:val="3"/>
        </w:numPr>
      </w:pPr>
      <w:r>
        <w:t>可以在代码中使用</w:t>
      </w:r>
      <w:r>
        <w:rPr>
          <w:highlight w:val="cyan"/>
          <w:bdr w:val="single" w:sz="4" w:space="0" w:color="DEE0E3"/>
        </w:rPr>
        <w:t>for-else</w:t>
      </w:r>
      <w:r>
        <w:t>结构，在循环正常结束时执行</w:t>
      </w:r>
      <w:r>
        <w:rPr>
          <w:highlight w:val="cyan"/>
          <w:bdr w:val="single" w:sz="4" w:space="0" w:color="DEE0E3"/>
        </w:rPr>
        <w:t>else</w:t>
      </w:r>
      <w:r>
        <w:t>块中的代码（未通过</w:t>
      </w:r>
      <w:r>
        <w:rPr>
          <w:highlight w:val="cyan"/>
          <w:bdr w:val="single" w:sz="4" w:space="0" w:color="DEE0E3"/>
        </w:rPr>
        <w:t>break</w:t>
      </w:r>
      <w:r>
        <w:t>跳出循环）。</w:t>
      </w:r>
      <w:r>
        <w:t xml:space="preserve"> </w:t>
      </w:r>
    </w:p>
    <w:p w:rsidR="001C2506" w:rsidRDefault="00000000">
      <w:pPr>
        <w:pStyle w:val="20"/>
        <w:numPr>
          <w:ilvl w:val="0"/>
          <w:numId w:val="3"/>
        </w:numPr>
      </w:pPr>
      <w:r>
        <w:t>允许使用</w:t>
      </w:r>
      <w:r>
        <w:rPr>
          <w:highlight w:val="cyan"/>
          <w:bdr w:val="single" w:sz="4" w:space="0" w:color="DEE0E3"/>
        </w:rPr>
        <w:t>async</w:t>
      </w:r>
      <w:r>
        <w:t>和</w:t>
      </w:r>
      <w:r>
        <w:rPr>
          <w:highlight w:val="cyan"/>
          <w:bdr w:val="single" w:sz="4" w:space="0" w:color="DEE0E3"/>
        </w:rPr>
        <w:t>await</w:t>
      </w:r>
      <w:r>
        <w:t>关键字编写异步代码，提高程序的并发性能。</w:t>
      </w:r>
      <w:r>
        <w:t xml:space="preserve"> </w:t>
      </w:r>
    </w:p>
    <w:p w:rsidR="001C2506" w:rsidRPr="00282147" w:rsidRDefault="00000000" w:rsidP="002B14AC">
      <w:pPr>
        <w:pStyle w:val="20"/>
        <w:numPr>
          <w:ilvl w:val="0"/>
          <w:numId w:val="3"/>
        </w:numPr>
      </w:pPr>
      <w:r>
        <w:t>可以根据项目实际情况，对代码进行适当的重构和优化，以提高代码质量和可维护性。</w:t>
      </w:r>
      <w:r>
        <w:t xml:space="preserve"> </w:t>
      </w:r>
    </w:p>
    <w:sectPr w:rsidR="001C2506" w:rsidRPr="00282147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4073B"/>
    <w:multiLevelType w:val="multilevel"/>
    <w:tmpl w:val="0E10B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2CE7736"/>
    <w:multiLevelType w:val="hybridMultilevel"/>
    <w:tmpl w:val="51A0EBF2"/>
    <w:lvl w:ilvl="0" w:tplc="46188BDA">
      <w:start w:val="1"/>
      <w:numFmt w:val="bullet"/>
      <w:lvlText w:val="●"/>
      <w:lvlJc w:val="left"/>
      <w:pPr>
        <w:ind w:left="720" w:hanging="360"/>
      </w:pPr>
    </w:lvl>
    <w:lvl w:ilvl="1" w:tplc="B5B45224">
      <w:start w:val="1"/>
      <w:numFmt w:val="bullet"/>
      <w:lvlText w:val="○"/>
      <w:lvlJc w:val="left"/>
      <w:pPr>
        <w:ind w:left="1440" w:hanging="360"/>
      </w:pPr>
    </w:lvl>
    <w:lvl w:ilvl="2" w:tplc="C208210A">
      <w:start w:val="1"/>
      <w:numFmt w:val="bullet"/>
      <w:lvlText w:val="■"/>
      <w:lvlJc w:val="left"/>
      <w:pPr>
        <w:ind w:left="2160" w:hanging="360"/>
      </w:pPr>
    </w:lvl>
    <w:lvl w:ilvl="3" w:tplc="F6DAD32C">
      <w:start w:val="1"/>
      <w:numFmt w:val="bullet"/>
      <w:lvlText w:val="●"/>
      <w:lvlJc w:val="left"/>
      <w:pPr>
        <w:ind w:left="2880" w:hanging="360"/>
      </w:pPr>
    </w:lvl>
    <w:lvl w:ilvl="4" w:tplc="D1C4C67E">
      <w:start w:val="1"/>
      <w:numFmt w:val="bullet"/>
      <w:lvlText w:val="○"/>
      <w:lvlJc w:val="left"/>
      <w:pPr>
        <w:ind w:left="3600" w:hanging="360"/>
      </w:pPr>
    </w:lvl>
    <w:lvl w:ilvl="5" w:tplc="59FEB6DE">
      <w:start w:val="1"/>
      <w:numFmt w:val="bullet"/>
      <w:lvlText w:val="■"/>
      <w:lvlJc w:val="left"/>
      <w:pPr>
        <w:ind w:left="4320" w:hanging="360"/>
      </w:pPr>
    </w:lvl>
    <w:lvl w:ilvl="6" w:tplc="0834F892">
      <w:start w:val="1"/>
      <w:numFmt w:val="bullet"/>
      <w:lvlText w:val="●"/>
      <w:lvlJc w:val="left"/>
      <w:pPr>
        <w:ind w:left="5040" w:hanging="360"/>
      </w:pPr>
    </w:lvl>
    <w:lvl w:ilvl="7" w:tplc="8C3450CE">
      <w:start w:val="1"/>
      <w:numFmt w:val="bullet"/>
      <w:lvlText w:val="●"/>
      <w:lvlJc w:val="left"/>
      <w:pPr>
        <w:ind w:left="5760" w:hanging="360"/>
      </w:pPr>
    </w:lvl>
    <w:lvl w:ilvl="8" w:tplc="5AC46D76">
      <w:start w:val="1"/>
      <w:numFmt w:val="bullet"/>
      <w:lvlText w:val="●"/>
      <w:lvlJc w:val="left"/>
      <w:pPr>
        <w:ind w:left="6480" w:hanging="360"/>
      </w:pPr>
    </w:lvl>
  </w:abstractNum>
  <w:num w:numId="1" w16cid:durableId="550726457">
    <w:abstractNumId w:val="0"/>
  </w:num>
  <w:num w:numId="2" w16cid:durableId="93016105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96200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5"/>
  <w:displayBackgroundShape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506"/>
    <w:rsid w:val="001C2506"/>
    <w:rsid w:val="00282147"/>
    <w:rsid w:val="002B14AC"/>
    <w:rsid w:val="00531094"/>
    <w:rsid w:val="00723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8978BC"/>
  <w15:docId w15:val="{A3E444F3-9261-4B47-A79F-8600635D5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uiPriority w:val="9"/>
    <w:qFormat/>
    <w:pPr>
      <w:spacing w:before="380" w:after="140" w:line="288" w:lineRule="auto"/>
      <w:outlineLvl w:val="0"/>
    </w:pPr>
    <w:rPr>
      <w:rFonts w:ascii="Arial" w:eastAsia="DengXian" w:hAnsi="Arial" w:cs="Arial"/>
      <w:b/>
      <w:bCs/>
      <w:sz w:val="36"/>
      <w:szCs w:val="36"/>
    </w:rPr>
  </w:style>
  <w:style w:type="paragraph" w:styleId="2">
    <w:name w:val="heading 2"/>
    <w:uiPriority w:val="9"/>
    <w:unhideWhenUsed/>
    <w:qFormat/>
    <w:pPr>
      <w:spacing w:before="320" w:after="120" w:line="288" w:lineRule="auto"/>
      <w:outlineLvl w:val="1"/>
    </w:pPr>
    <w:rPr>
      <w:rFonts w:ascii="Arial" w:eastAsia="DengXian" w:hAnsi="Arial" w:cs="Arial"/>
      <w:b/>
      <w:bCs/>
      <w:sz w:val="32"/>
      <w:szCs w:val="32"/>
    </w:rPr>
  </w:style>
  <w:style w:type="paragraph" w:styleId="3">
    <w:name w:val="heading 3"/>
    <w:uiPriority w:val="9"/>
    <w:semiHidden/>
    <w:unhideWhenUsed/>
    <w:qFormat/>
    <w:pPr>
      <w:spacing w:before="300" w:after="120" w:line="288" w:lineRule="auto"/>
      <w:outlineLvl w:val="2"/>
    </w:pPr>
    <w:rPr>
      <w:rFonts w:ascii="Arial" w:eastAsia="DengXian" w:hAnsi="Arial" w:cs="Arial"/>
      <w:b/>
      <w:bCs/>
      <w:sz w:val="30"/>
      <w:szCs w:val="30"/>
    </w:rPr>
  </w:style>
  <w:style w:type="paragraph" w:styleId="4">
    <w:name w:val="heading 4"/>
    <w:uiPriority w:val="9"/>
    <w:semiHidden/>
    <w:unhideWhenUsed/>
    <w:qFormat/>
    <w:pPr>
      <w:spacing w:before="260" w:after="120" w:line="288" w:lineRule="auto"/>
      <w:outlineLvl w:val="3"/>
    </w:pPr>
    <w:rPr>
      <w:rFonts w:ascii="Arial" w:eastAsia="DengXian" w:hAnsi="Arial" w:cs="Arial"/>
      <w:b/>
      <w:bCs/>
      <w:sz w:val="28"/>
      <w:szCs w:val="28"/>
    </w:rPr>
  </w:style>
  <w:style w:type="paragraph" w:styleId="5">
    <w:name w:val="heading 5"/>
    <w:uiPriority w:val="9"/>
    <w:semiHidden/>
    <w:unhideWhenUsed/>
    <w:qFormat/>
    <w:pPr>
      <w:spacing w:before="240" w:after="120" w:line="288" w:lineRule="auto"/>
      <w:outlineLvl w:val="4"/>
    </w:pPr>
    <w:rPr>
      <w:rFonts w:ascii="Arial" w:eastAsia="DengXian" w:hAnsi="Arial" w:cs="Arial"/>
      <w:b/>
      <w:bCs/>
      <w:sz w:val="24"/>
      <w:szCs w:val="24"/>
    </w:rPr>
  </w:style>
  <w:style w:type="paragraph" w:styleId="6">
    <w:name w:val="heading 6"/>
    <w:uiPriority w:val="9"/>
    <w:semiHidden/>
    <w:unhideWhenUsed/>
    <w:qFormat/>
    <w:pPr>
      <w:spacing w:before="240" w:after="120" w:line="288" w:lineRule="auto"/>
      <w:outlineLvl w:val="5"/>
    </w:pPr>
    <w:rPr>
      <w:rFonts w:ascii="Arial" w:eastAsia="DengXian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uiPriority w:val="10"/>
    <w:qFormat/>
    <w:pPr>
      <w:spacing w:before="480" w:after="480" w:line="288" w:lineRule="auto"/>
    </w:pPr>
    <w:rPr>
      <w:rFonts w:ascii="Arial" w:eastAsia="DengXian" w:hAnsi="Arial" w:cs="Arial"/>
      <w:b/>
      <w:bCs/>
      <w:sz w:val="52"/>
      <w:szCs w:val="52"/>
    </w:rPr>
  </w:style>
  <w:style w:type="paragraph" w:customStyle="1" w:styleId="10">
    <w:name w:val="要点1"/>
    <w:qFormat/>
    <w:rPr>
      <w:b/>
      <w:bCs/>
    </w:rPr>
  </w:style>
  <w:style w:type="paragraph" w:styleId="a4">
    <w:name w:val="List Paragraph"/>
    <w:qFormat/>
  </w:style>
  <w:style w:type="character" w:styleId="a5">
    <w:name w:val="Hyperlink"/>
    <w:uiPriority w:val="99"/>
    <w:unhideWhenUsed/>
    <w:rPr>
      <w:color w:val="0563C1"/>
      <w:u w:val="single"/>
    </w:rPr>
  </w:style>
  <w:style w:type="character" w:styleId="a6">
    <w:name w:val="footnote reference"/>
    <w:uiPriority w:val="99"/>
    <w:semiHidden/>
    <w:unhideWhenUsed/>
    <w:rPr>
      <w:vertAlign w:val="superscript"/>
    </w:rPr>
  </w:style>
  <w:style w:type="paragraph" w:styleId="a7">
    <w:name w:val="footnote text"/>
    <w:link w:val="a8"/>
    <w:uiPriority w:val="99"/>
    <w:semiHidden/>
    <w:unhideWhenUsed/>
  </w:style>
  <w:style w:type="character" w:customStyle="1" w:styleId="a8">
    <w:name w:val="脚注文本 字符"/>
    <w:link w:val="a7"/>
    <w:uiPriority w:val="99"/>
    <w:semiHidden/>
    <w:unhideWhenUsed/>
    <w:rPr>
      <w:sz w:val="20"/>
      <w:szCs w:val="20"/>
    </w:rPr>
  </w:style>
  <w:style w:type="paragraph" w:customStyle="1" w:styleId="20">
    <w:name w:val="2"/>
    <w:pPr>
      <w:spacing w:before="120" w:after="120" w:line="288" w:lineRule="auto"/>
    </w:pPr>
    <w:rPr>
      <w:rFonts w:ascii="Arial" w:eastAsia="DengXian" w:hAnsi="Arial" w:cs="Arial"/>
      <w:sz w:val="22"/>
      <w:szCs w:val="22"/>
    </w:rPr>
  </w:style>
  <w:style w:type="paragraph" w:customStyle="1" w:styleId="11">
    <w:name w:val="1"/>
    <w:pPr>
      <w:spacing w:before="120" w:after="120" w:line="288" w:lineRule="auto"/>
    </w:pPr>
    <w:rPr>
      <w:rFonts w:ascii="Arial" w:eastAsia="DengXian" w:hAnsi="Arial" w:cs="Arial"/>
      <w:color w:val="8F959E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384</Words>
  <Characters>2193</Characters>
  <Application>Microsoft Office Word</Application>
  <DocSecurity>0</DocSecurity>
  <Lines>18</Lines>
  <Paragraphs>5</Paragraphs>
  <ScaleCrop>false</ScaleCrop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Leion Charels</cp:lastModifiedBy>
  <cp:revision>3</cp:revision>
  <dcterms:created xsi:type="dcterms:W3CDTF">2025-06-21T07:47:00Z</dcterms:created>
  <dcterms:modified xsi:type="dcterms:W3CDTF">2025-06-21T07:51:00Z</dcterms:modified>
</cp:coreProperties>
</file>