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40" w:lineRule="auto" w:line="360"/>
        <w:jc w:val="center"/>
      </w:pPr>
      <w:r>
        <w:rPr>
          <w:rFonts w:ascii="Times New Roman" w:hAnsi="Times New Roman" w:eastAsia="黑体"/>
          <w:b/>
          <w:color w:val="555555"/>
          <w:sz w:val="26"/>
        </w:rPr>
        <w:t>“海之子杯” AI 智能体挑战赛</w:t>
      </w:r>
    </w:p>
    <w:p>
      <w:pPr>
        <w:spacing w:before="0" w:after="520" w:lineRule="auto" w:line="360"/>
        <w:jc w:val="center"/>
      </w:pPr>
      <w:r>
        <w:rPr>
          <w:rFonts w:ascii="Times New Roman" w:hAnsi="Times New Roman" w:eastAsia="楷体"/>
          <w:b w:val="0"/>
          <w:sz w:val="22"/>
        </w:rPr>
        <w:t>西建大校内赛 · 参赛作品</w:t>
      </w:r>
    </w:p>
    <w:p>
      <w:pPr>
        <w:spacing w:before="0" w:after="80" w:lineRule="auto" w:line="360"/>
        <w:jc w:val="center"/>
      </w:pPr>
      <w:r>
        <w:rPr>
          <w:rFonts w:ascii="Times New Roman" w:hAnsi="Times New Roman" w:eastAsia="黑体"/>
          <w:b/>
          <w:color w:val="0F3C6B"/>
          <w:sz w:val="60"/>
        </w:rPr>
        <w:t>智构 StructMind</w:t>
      </w:r>
    </w:p>
    <w:p>
      <w:pPr>
        <w:spacing w:before="0" w:after="160" w:lineRule="auto" w:line="360"/>
        <w:jc w:val="center"/>
      </w:pPr>
      <w:r>
        <w:rPr>
          <w:rFonts w:ascii="Times New Roman" w:hAnsi="Times New Roman" w:eastAsia="黑体"/>
          <w:b/>
          <w:sz w:val="32"/>
        </w:rPr>
        <w:t>建筑结构方案优化 AI 智能体</w:t>
      </w:r>
    </w:p>
    <w:p>
      <w:pPr>
        <w:spacing w:before="0" w:after="440" w:lineRule="auto" w:line="360"/>
        <w:jc w:val="center"/>
      </w:pPr>
      <w:r>
        <w:rPr>
          <w:rFonts w:ascii="Times New Roman" w:hAnsi="Times New Roman" w:eastAsia="楷体"/>
          <w:b w:val="0"/>
          <w:sz w:val="24"/>
        </w:rPr>
        <w:t>—— 规划与执行分离 · 多智能体辩论 · 零幻觉工程计算 ——</w:t>
      </w:r>
    </w:p>
    <w:p>
      <w:pPr>
        <w:spacing w:before="0" w:after="28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面向建筑方案阶段的多智能体协同结构选型与优化工具：由规划器将设计目标拆解为可执行 DAG，调度器驱动四类专业 Agent 协同推理，调用 12 个硬编码工程工具完成规范校核与多目标寻优，输出可追溯、可干预、可导出的推荐方案。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黑体"/>
          <w:b/>
          <w:sz w:val="22"/>
        </w:rPr>
        <w:t>线上 Demo：</w:t>
      </w:r>
      <w:r>
        <w:rPr>
          <w:rFonts w:ascii="Times New Roman" w:hAnsi="Times New Roman" w:eastAsia="宋体"/>
          <w:b w:val="0"/>
          <w:sz w:val="22"/>
        </w:rPr>
        <w:t>https://liuyux0512.github.io/-Structmind-agent/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黑体"/>
          <w:b/>
          <w:sz w:val="22"/>
        </w:rPr>
        <w:t>提交日期：</w:t>
      </w:r>
      <w:r>
        <w:rPr>
          <w:rFonts w:ascii="Times New Roman" w:hAnsi="Times New Roman" w:eastAsia="宋体"/>
          <w:b w:val="0"/>
          <w:sz w:val="22"/>
        </w:rPr>
        <w:t>2026 年 9 月 28 日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黑体"/>
          <w:b/>
          <w:sz w:val="22"/>
        </w:rPr>
        <w:t>团队成员：</w:t>
      </w:r>
      <w:r>
        <w:rPr>
          <w:rFonts w:ascii="Times New Roman" w:hAnsi="Times New Roman" w:eastAsia="宋体"/>
          <w:b w:val="0"/>
          <w:sz w:val="22"/>
        </w:rPr>
        <w:t>刘宇翔（负责人）、李国扬、吕勇宽、张盛涵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黑体"/>
          <w:b/>
          <w:sz w:val="22"/>
        </w:rPr>
        <w:t>所属单位：</w:t>
      </w:r>
      <w:r>
        <w:rPr>
          <w:rFonts w:ascii="Times New Roman" w:hAnsi="Times New Roman" w:eastAsia="宋体"/>
          <w:b w:val="0"/>
          <w:sz w:val="22"/>
        </w:rPr>
        <w:t>土木工程学院 · 指导教师：无</w:t>
      </w:r>
    </w:p>
    <w:p>
      <w:pPr>
        <w:keepNext/>
        <w:spacing w:before="320" w:after="120"/>
        <w:outlineLvl w:val="0"/>
      </w:pPr>
      <w:r>
        <w:rPr>
          <w:rFonts w:ascii="Times New Roman" w:hAnsi="Times New Roman" w:eastAsia="黑体"/>
          <w:b/>
          <w:color w:val="0F3C6B"/>
          <w:sz w:val="32"/>
        </w:rPr>
        <w:t>1. 背景与场景</w:t>
      </w:r>
    </w:p>
    <w:p>
      <w:pPr>
        <w:keepNext/>
        <w:spacing w:before="220" w:after="80"/>
        <w:outlineLvl w:val="1"/>
      </w:pPr>
      <w:r>
        <w:rPr>
          <w:rFonts w:ascii="Times New Roman" w:hAnsi="Times New Roman" w:eastAsia="黑体"/>
          <w:b/>
          <w:color w:val="142846"/>
          <w:sz w:val="27"/>
        </w:rPr>
        <w:t>1.1 目标用户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智构 StructMind 面向设计院结构工程师及土木工程专业师生。该群体熟悉 PKPM、YJK、Revit 等专业软件与现行结构规范，处于建筑方案前期，需要在建筑方案确定后快速完成结构体系选择与多方案比选。</w:t>
      </w:r>
    </w:p>
    <w:p>
      <w:pPr>
        <w:keepNext/>
        <w:spacing w:before="220" w:after="80"/>
        <w:outlineLvl w:val="1"/>
      </w:pPr>
      <w:r>
        <w:rPr>
          <w:rFonts w:ascii="Times New Roman" w:hAnsi="Times New Roman" w:eastAsia="黑体"/>
          <w:b/>
          <w:color w:val="142846"/>
          <w:sz w:val="27"/>
        </w:rPr>
        <w:t>1.2 用户痛点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结构方案前期设计中，工程师需在有限时间内同时权衡结构安全、造价、工期与碳排放等相互制约的目标；而传统人工手算与 PKPM/YJK 反复试错周期极长，一次体系比选往往耗时数天。具体痛点如下：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type="dxa" w:w="2268"/>
            <w:shd w:val="clear" w:fill="1F4E79"/>
            <w:vAlign w:val="center"/>
          </w:tcPr>
          <w:p>
            <w:pPr>
              <w:spacing w:line="276" w:lineRule="auto" w:after="40" w:before="40"/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痛点</w:t>
            </w:r>
          </w:p>
        </w:tc>
        <w:tc>
          <w:tcPr>
            <w:tcW w:type="dxa" w:w="2268"/>
            <w:shd w:val="clear" w:fill="1F4E79"/>
            <w:vAlign w:val="center"/>
          </w:tcPr>
          <w:p>
            <w:pPr>
              <w:spacing w:line="276" w:lineRule="auto" w:after="40" w:before="40"/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具体表现</w:t>
            </w:r>
          </w:p>
        </w:tc>
        <w:tc>
          <w:tcPr>
            <w:tcW w:type="dxa" w:w="2268"/>
            <w:shd w:val="clear" w:fill="1F4E79"/>
            <w:vAlign w:val="center"/>
          </w:tcPr>
          <w:p>
            <w:pPr>
              <w:spacing w:line="276" w:lineRule="auto" w:after="40" w:before="40"/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传统方式的代价</w:t>
            </w:r>
          </w:p>
        </w:tc>
        <w:tc>
          <w:tcPr>
            <w:tcW w:type="dxa" w:w="2268"/>
            <w:shd w:val="clear" w:fill="1F4E79"/>
            <w:vAlign w:val="center"/>
          </w:tcPr>
          <w:p>
            <w:pPr>
              <w:spacing w:line="276" w:lineRule="auto" w:after="40" w:before="40"/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本项目目标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76" w:lineRule="auto" w:after="40" w:before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多目标互相制约</w:t>
            </w:r>
          </w:p>
        </w:tc>
        <w:tc>
          <w:tcPr>
            <w:tcW w:type="dxa" w:w="2268"/>
            <w:vAlign w:val="center"/>
          </w:tcPr>
          <w:p>
            <w:pPr>
              <w:spacing w:line="276" w:lineRule="auto" w:after="40" w:before="4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造价、工期、碳排、安全此消彼长</w:t>
            </w:r>
          </w:p>
        </w:tc>
        <w:tc>
          <w:tcPr>
            <w:tcW w:type="dxa" w:w="2268"/>
            <w:vAlign w:val="center"/>
          </w:tcPr>
          <w:p>
            <w:pPr>
              <w:spacing w:line="276" w:lineRule="auto" w:after="40" w:before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凭经验权衡，顾此失彼</w:t>
            </w:r>
          </w:p>
        </w:tc>
        <w:tc>
          <w:tcPr>
            <w:tcW w:type="dxa" w:w="2268"/>
            <w:vAlign w:val="center"/>
          </w:tcPr>
          <w:p>
            <w:pPr>
              <w:spacing w:line="276" w:lineRule="auto" w:after="40" w:before="4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多目标自动寻优与量化比选</w:t>
            </w:r>
          </w:p>
        </w:tc>
      </w:tr>
      <w:tr>
        <w:trPr>
          <w:cantSplit/>
        </w:trPr>
        <w:tc>
          <w:tcPr>
            <w:tcW w:type="dxa" w:w="2268"/>
            <w:shd w:val="clear" w:fill="EEF3F9"/>
            <w:vAlign w:val="center"/>
          </w:tcPr>
          <w:p>
            <w:pPr>
              <w:spacing w:line="276" w:lineRule="auto" w:after="40" w:before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专业软件试错慢</w:t>
            </w:r>
          </w:p>
        </w:tc>
        <w:tc>
          <w:tcPr>
            <w:tcW w:type="dxa" w:w="2268"/>
            <w:shd w:val="clear" w:fill="EEF3F9"/>
            <w:vAlign w:val="center"/>
          </w:tcPr>
          <w:p>
            <w:pPr>
              <w:spacing w:line="276" w:lineRule="auto" w:after="40" w:before="4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换一次结构体系需重新建模、计算、出图</w:t>
            </w:r>
          </w:p>
        </w:tc>
        <w:tc>
          <w:tcPr>
            <w:tcW w:type="dxa" w:w="2268"/>
            <w:shd w:val="clear" w:fill="EEF3F9"/>
            <w:vAlign w:val="center"/>
          </w:tcPr>
          <w:p>
            <w:pPr>
              <w:spacing w:line="276" w:lineRule="auto" w:after="40" w:before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单方案比选常需数天</w:t>
            </w:r>
          </w:p>
        </w:tc>
        <w:tc>
          <w:tcPr>
            <w:tcW w:type="dxa" w:w="2268"/>
            <w:shd w:val="clear" w:fill="EEF3F9"/>
            <w:vAlign w:val="center"/>
          </w:tcPr>
          <w:p>
            <w:pPr>
              <w:spacing w:line="276" w:lineRule="auto" w:after="40" w:before="4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分钟级完成多套候选方案</w:t>
            </w:r>
          </w:p>
        </w:tc>
      </w:tr>
      <w:tr>
        <w:trPr>
          <w:cantSplit/>
        </w:trPr>
        <w:tc>
          <w:tcPr>
            <w:tcW w:type="dxa" w:w="2268"/>
            <w:vAlign w:val="center"/>
          </w:tcPr>
          <w:p>
            <w:pPr>
              <w:spacing w:line="276" w:lineRule="auto" w:after="40" w:before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规范强条易漏</w:t>
            </w:r>
          </w:p>
        </w:tc>
        <w:tc>
          <w:tcPr>
            <w:tcW w:type="dxa" w:w="2268"/>
            <w:vAlign w:val="center"/>
          </w:tcPr>
          <w:p>
            <w:pPr>
              <w:spacing w:line="276" w:lineRule="auto" w:after="40" w:before="4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剪重比、周期比、位移角等限值众多</w:t>
            </w:r>
          </w:p>
        </w:tc>
        <w:tc>
          <w:tcPr>
            <w:tcW w:type="dxa" w:w="2268"/>
            <w:vAlign w:val="center"/>
          </w:tcPr>
          <w:p>
            <w:pPr>
              <w:spacing w:line="276" w:lineRule="auto" w:after="40" w:before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人工逐条核对，易漏检</w:t>
            </w:r>
          </w:p>
        </w:tc>
        <w:tc>
          <w:tcPr>
            <w:tcW w:type="dxa" w:w="2268"/>
            <w:vAlign w:val="center"/>
          </w:tcPr>
          <w:p>
            <w:pPr>
              <w:spacing w:line="276" w:lineRule="auto" w:after="40" w:before="4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强条自动判定、逐条可追溯</w:t>
            </w:r>
          </w:p>
        </w:tc>
      </w:tr>
    </w:tbl>
    <w:p>
      <w:pPr>
        <w:keepNext/>
        <w:spacing w:before="220" w:after="80"/>
        <w:outlineLvl w:val="1"/>
      </w:pPr>
      <w:r>
        <w:rPr>
          <w:rFonts w:ascii="Times New Roman" w:hAnsi="Times New Roman" w:eastAsia="黑体"/>
          <w:b/>
          <w:color w:val="142846"/>
          <w:sz w:val="27"/>
        </w:rPr>
        <w:t>1.3 使用场景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场景 A —— 方案初期多目标快速寻优：结构工程师录入建筑面积、层数、跨度、设防烈度与预算后，系统由规划器生成 DAG，自动产出框架、框架—剪力墙、钢结构等多套候选方案，完成七维量化比选并给出综合推荐，将“数天”的方案比选压缩至“分钟级”。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场景 B —— 规范强条自动校核与打回重做：Code Agent 对候选方案执行现行国标强条判定，一旦发现剪重比不足、周期比超限或高度超适用范围，即将问题写回共享上下文并打回 Architect 重新选型；重选后自动重新校核，直至满足约束或由 Chief 仲裁，形成闭环纠错而非一次性输出。</w:t>
      </w:r>
    </w:p>
    <w:p>
      <w:pPr>
        <w:keepNext/>
        <w:spacing w:before="320" w:after="120"/>
        <w:outlineLvl w:val="0"/>
      </w:pPr>
      <w:r>
        <w:rPr>
          <w:rFonts w:ascii="Times New Roman" w:hAnsi="Times New Roman" w:eastAsia="黑体"/>
          <w:b/>
          <w:color w:val="0F3C6B"/>
          <w:sz w:val="32"/>
        </w:rPr>
        <w:t>2. 功能说明</w:t>
      </w:r>
    </w:p>
    <w:p>
      <w:pPr>
        <w:keepNext/>
        <w:spacing w:before="220" w:after="80"/>
        <w:outlineLvl w:val="1"/>
      </w:pPr>
      <w:r>
        <w:rPr>
          <w:rFonts w:ascii="Times New Roman" w:hAnsi="Times New Roman" w:eastAsia="黑体"/>
          <w:b/>
          <w:color w:val="142846"/>
          <w:sz w:val="27"/>
        </w:rPr>
        <w:t>2.1 核心功能与四 Agent 协同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系统以四类专业 Agent 构建“虚拟工程部”，在统一 DAG 调度下协同工作：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</w:trPr>
        <w:tc>
          <w:tcPr>
            <w:tcW w:type="dxa" w:w="3024"/>
            <w:shd w:val="clear" w:fill="1F4E79"/>
            <w:vAlign w:val="center"/>
          </w:tcPr>
          <w:p>
            <w:pPr>
              <w:spacing w:line="276" w:lineRule="auto" w:after="40" w:before="40"/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Agent</w:t>
            </w:r>
          </w:p>
        </w:tc>
        <w:tc>
          <w:tcPr>
            <w:tcW w:type="dxa" w:w="3024"/>
            <w:shd w:val="clear" w:fill="1F4E79"/>
            <w:vAlign w:val="center"/>
          </w:tcPr>
          <w:p>
            <w:pPr>
              <w:spacing w:line="276" w:lineRule="auto" w:after="40" w:before="40"/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角色</w:t>
            </w:r>
          </w:p>
        </w:tc>
        <w:tc>
          <w:tcPr>
            <w:tcW w:type="dxa" w:w="3024"/>
            <w:shd w:val="clear" w:fill="1F4E79"/>
            <w:vAlign w:val="center"/>
          </w:tcPr>
          <w:p>
            <w:pPr>
              <w:spacing w:line="276" w:lineRule="auto" w:after="40" w:before="40"/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核心职责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line="276" w:lineRule="auto" w:after="40" w:before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Architect</w:t>
            </w:r>
          </w:p>
        </w:tc>
        <w:tc>
          <w:tcPr>
            <w:tcW w:type="dxa" w:w="3024"/>
            <w:vAlign w:val="center"/>
          </w:tcPr>
          <w:p>
            <w:pPr>
              <w:spacing w:line="276" w:lineRule="auto" w:after="40" w:before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方案创作</w:t>
            </w:r>
          </w:p>
        </w:tc>
        <w:tc>
          <w:tcPr>
            <w:tcW w:type="dxa" w:w="3024"/>
            <w:vAlign w:val="center"/>
          </w:tcPr>
          <w:p>
            <w:pPr>
              <w:spacing w:line="276" w:lineRule="auto" w:after="40" w:before="4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依据工程参数与约束生成候选结构体系与截面方案</w:t>
            </w:r>
          </w:p>
        </w:tc>
      </w:tr>
      <w:tr>
        <w:trPr>
          <w:cantSplit/>
        </w:trPr>
        <w:tc>
          <w:tcPr>
            <w:tcW w:type="dxa" w:w="3024"/>
            <w:shd w:val="clear" w:fill="EEF3F9"/>
            <w:vAlign w:val="center"/>
          </w:tcPr>
          <w:p>
            <w:pPr>
              <w:spacing w:line="276" w:lineRule="auto" w:after="40" w:before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Code</w:t>
            </w:r>
          </w:p>
        </w:tc>
        <w:tc>
          <w:tcPr>
            <w:tcW w:type="dxa" w:w="3024"/>
            <w:shd w:val="clear" w:fill="EEF3F9"/>
            <w:vAlign w:val="center"/>
          </w:tcPr>
          <w:p>
            <w:pPr>
              <w:spacing w:line="276" w:lineRule="auto" w:after="40" w:before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规范校核</w:t>
            </w:r>
          </w:p>
        </w:tc>
        <w:tc>
          <w:tcPr>
            <w:tcW w:type="dxa" w:w="3024"/>
            <w:shd w:val="clear" w:fill="EEF3F9"/>
            <w:vAlign w:val="center"/>
          </w:tcPr>
          <w:p>
            <w:pPr>
              <w:spacing w:line="276" w:lineRule="auto" w:after="40" w:before="4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按现行国标强条逐条判定，识别违规并触发回退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line="276" w:lineRule="auto" w:after="40" w:before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Economist</w:t>
            </w:r>
          </w:p>
        </w:tc>
        <w:tc>
          <w:tcPr>
            <w:tcW w:type="dxa" w:w="3024"/>
            <w:vAlign w:val="center"/>
          </w:tcPr>
          <w:p>
            <w:pPr>
              <w:spacing w:line="276" w:lineRule="auto" w:after="40" w:before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经济评估</w:t>
            </w:r>
          </w:p>
        </w:tc>
        <w:tc>
          <w:tcPr>
            <w:tcW w:type="dxa" w:w="3024"/>
            <w:vAlign w:val="center"/>
          </w:tcPr>
          <w:p>
            <w:pPr>
              <w:spacing w:line="276" w:lineRule="auto" w:after="40" w:before="4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对合规方案核算造价、工期与碳排放</w:t>
            </w:r>
          </w:p>
        </w:tc>
      </w:tr>
      <w:tr>
        <w:trPr>
          <w:cantSplit/>
        </w:trPr>
        <w:tc>
          <w:tcPr>
            <w:tcW w:type="dxa" w:w="3024"/>
            <w:shd w:val="clear" w:fill="EEF3F9"/>
            <w:vAlign w:val="center"/>
          </w:tcPr>
          <w:p>
            <w:pPr>
              <w:spacing w:line="276" w:lineRule="auto" w:after="40" w:before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Chief</w:t>
            </w:r>
          </w:p>
        </w:tc>
        <w:tc>
          <w:tcPr>
            <w:tcW w:type="dxa" w:w="3024"/>
            <w:shd w:val="clear" w:fill="EEF3F9"/>
            <w:vAlign w:val="center"/>
          </w:tcPr>
          <w:p>
            <w:pPr>
              <w:spacing w:line="276" w:lineRule="auto" w:after="40" w:before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总工仲裁</w:t>
            </w:r>
          </w:p>
        </w:tc>
        <w:tc>
          <w:tcPr>
            <w:tcW w:type="dxa" w:w="3024"/>
            <w:shd w:val="clear" w:fill="EEF3F9"/>
            <w:vAlign w:val="center"/>
          </w:tcPr>
          <w:p>
            <w:pPr>
              <w:spacing w:line="276" w:lineRule="auto" w:after="40" w:before="4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综合多目标仲裁 Agent 间分歧，给出推荐与风险</w:t>
            </w:r>
          </w:p>
        </w:tc>
      </w:tr>
    </w:tbl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多智能体辩论机制：Code 挑刺发现规范违规 → Architect 针对问题重新选型 → Chief 对双方论点仲裁拍板。辩论过程在推理轨迹看板中逐轮呈现，并以红色弧线标识“回退重算”回路。</w:t>
      </w:r>
    </w:p>
    <w:p>
      <w:pPr>
        <w:keepNext/>
        <w:spacing w:before="220" w:after="80"/>
        <w:outlineLvl w:val="1"/>
      </w:pPr>
      <w:r>
        <w:rPr>
          <w:rFonts w:ascii="Times New Roman" w:hAnsi="Times New Roman" w:eastAsia="黑体"/>
          <w:b/>
          <w:color w:val="142846"/>
          <w:sz w:val="27"/>
        </w:rPr>
        <w:t>2.2 三大亮点功能：比选 · 问答 · 迭代优化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亮点一：方案比选——七维量化，一目了然。系统为每套候选方案输出统一口径的七维指标（造价、工期、抗震性能、施工难度、可持续性、装配率、碳排放），由 Chief 加权评分并生成七维雷达图与排序推荐；造价、工期、施工难度、碳排放为逆向指标（越低越优），抗震性能、可持续性、装配率为正向指标，优劣对比不再“凭感觉”，可直接用于向甲方汇报。工程师还能锁定权重，把“安全优先”或“经济优先”变成硬约束。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亮点二：AI 智能问答——会办事的问答，不只是聊天。系统内置行动型智能问答：既能回答“这条规范条文怎么理解”等知识型问题，更能执行“把层数从 30 层降到 20 层会怎样”这类反事实推演——对改动前后双快照逐指标对比，输出差异与规范是否翻转；也支持“预算收紧到 1.2 亿，重新比选”等参数修改指令，一句话即可驱动整套管线重跑。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亮点三：多次迭代优化——改一版、存一版、比一版。工程实践刚需是“改一版参数、存一版结果”，系统自动保存历史版本（最多 10 版），支持任意两版对比（参数差异 + 结果差异）与从历史版本回溯重启；配合多 Agent 辩论的回退重算与元认知“下次运行自动优化执行计划”，形成“试错—复盘—进化”的持续优化闭环。</w:t>
      </w:r>
    </w:p>
    <w:p>
      <w:pPr>
        <w:keepNext/>
        <w:spacing w:before="220" w:after="80"/>
        <w:outlineLvl w:val="1"/>
      </w:pPr>
      <w:r>
        <w:rPr>
          <w:rFonts w:ascii="Times New Roman" w:hAnsi="Times New Roman" w:eastAsia="黑体"/>
          <w:b/>
          <w:color w:val="142846"/>
          <w:sz w:val="27"/>
        </w:rPr>
        <w:t>2.3 技术方案：规划与执行分离的零幻觉架构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本项目的技术壁垒在于“规划与执行分离”与“零幻觉计算”，而非写死顺序的流水线：</w:t>
      </w:r>
    </w:p>
    <w:p>
      <w:pPr>
        <w:spacing w:before="0" w:after="0" w:lineRule="auto" w:line="360"/>
        <w:ind w:firstLine="480" w:left="170"/>
      </w:pPr>
      <w:r>
        <w:rPr>
          <w:rFonts w:ascii="Times New Roman" w:hAnsi="Times New Roman" w:eastAsia="宋体"/>
          <w:b w:val="0"/>
          <w:sz w:val="24"/>
        </w:rPr>
        <w:t>① 规划与执行分离：系统并非把流程硬编码为固定步骤，而是由 Planner（规划器）根据用户目标动态生成一张有向无环图（DAG），再由调度器按节点依赖执行；当某节点失败或被打回时，调度器支持条件分支与递归重规划，动态调整后续路径。</w:t>
      </w:r>
    </w:p>
    <w:p>
      <w:pPr>
        <w:spacing w:before="0" w:after="0" w:lineRule="auto" w:line="360"/>
        <w:ind w:firstLine="480" w:left="170"/>
      </w:pPr>
      <w:r>
        <w:rPr>
          <w:rFonts w:ascii="Times New Roman" w:hAnsi="Times New Roman" w:eastAsia="宋体"/>
          <w:b w:val="0"/>
          <w:sz w:val="24"/>
        </w:rPr>
        <w:t>② 多智能体辩论与仲裁：Code 发现问题后把结构化结论写回共享上下文，Architect 据此重做，Chief 在多目标冲突时仲裁，允许回路反复迭代直至收敛，区别于一次跑完的 Prompt 工作流。</w:t>
      </w:r>
    </w:p>
    <w:p>
      <w:pPr>
        <w:spacing w:before="0" w:after="0" w:lineRule="auto" w:line="360"/>
        <w:ind w:firstLine="480" w:left="170"/>
      </w:pPr>
      <w:r>
        <w:rPr>
          <w:rFonts w:ascii="Times New Roman" w:hAnsi="Times New Roman" w:eastAsia="宋体"/>
          <w:b w:val="0"/>
          <w:sz w:val="24"/>
        </w:rPr>
        <w:t>③ 零幻觉工程计算：大模型只负责理解意图、拆解任务与调度工具，绝不参与任何数值计算；剪重比、周期比、位移角、轴压比、造价与碳排放等全部由 12 个硬编码工程工具（规则层 + 判定层）按现行规范公式计算，结论可复核、可追溯。</w:t>
      </w:r>
    </w:p>
    <w:p>
      <w:pPr>
        <w:keepNext/>
        <w:spacing w:before="220" w:after="80"/>
        <w:outlineLvl w:val="1"/>
      </w:pPr>
      <w:r>
        <w:rPr>
          <w:rFonts w:ascii="Times New Roman" w:hAnsi="Times New Roman" w:eastAsia="黑体"/>
          <w:b/>
          <w:color w:val="142846"/>
          <w:sz w:val="27"/>
        </w:rPr>
        <w:t>2.4 系统架构图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88000" cy="3619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_mermai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619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Times New Roman" w:hAnsi="Times New Roman" w:eastAsia="楷体"/>
          <w:b w:val="0"/>
          <w:sz w:val="21"/>
        </w:rPr>
        <w:t>图 1  五层系统架构：前端层 → DAG 调度层 → 四 Agent 层 → 工程工具层 → 记忆与反思层</w:t>
      </w:r>
    </w:p>
    <w:p>
      <w:pPr>
        <w:keepNext/>
        <w:spacing w:before="220" w:after="80"/>
        <w:outlineLvl w:val="1"/>
      </w:pPr>
      <w:r>
        <w:rPr>
          <w:rFonts w:ascii="Times New Roman" w:hAnsi="Times New Roman" w:eastAsia="黑体"/>
          <w:b/>
          <w:color w:val="142846"/>
          <w:sz w:val="27"/>
        </w:rPr>
        <w:t>2.5 创新与差异化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</w:trPr>
        <w:tc>
          <w:tcPr>
            <w:tcW w:type="dxa" w:w="3024"/>
            <w:shd w:val="clear" w:fill="1F4E79"/>
            <w:vAlign w:val="center"/>
          </w:tcPr>
          <w:p>
            <w:pPr>
              <w:spacing w:line="276" w:lineRule="auto" w:after="40" w:before="40"/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创新点</w:t>
            </w:r>
          </w:p>
        </w:tc>
        <w:tc>
          <w:tcPr>
            <w:tcW w:type="dxa" w:w="3024"/>
            <w:shd w:val="clear" w:fill="1F4E79"/>
            <w:vAlign w:val="center"/>
          </w:tcPr>
          <w:p>
            <w:pPr>
              <w:spacing w:line="276" w:lineRule="auto" w:after="40" w:before="40"/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内涵</w:t>
            </w:r>
          </w:p>
        </w:tc>
        <w:tc>
          <w:tcPr>
            <w:tcW w:type="dxa" w:w="3024"/>
            <w:shd w:val="clear" w:fill="1F4E79"/>
            <w:vAlign w:val="center"/>
          </w:tcPr>
          <w:p>
            <w:pPr>
              <w:spacing w:line="276" w:lineRule="auto" w:after="40" w:before="40"/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相对传统工作流的差异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line="276" w:lineRule="auto" w:after="40" w:before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① 动态 DAG 与递归重规划</w:t>
            </w:r>
          </w:p>
        </w:tc>
        <w:tc>
          <w:tcPr>
            <w:tcW w:type="dxa" w:w="3024"/>
            <w:vAlign w:val="center"/>
          </w:tcPr>
          <w:p>
            <w:pPr>
              <w:spacing w:line="276" w:lineRule="auto" w:after="40" w:before="4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规划器按目标生成 DAG，调度器支持失败回退与动态重排</w:t>
            </w:r>
          </w:p>
        </w:tc>
        <w:tc>
          <w:tcPr>
            <w:tcW w:type="dxa" w:w="3024"/>
            <w:vAlign w:val="center"/>
          </w:tcPr>
          <w:p>
            <w:pPr>
              <w:spacing w:line="276" w:lineRule="auto" w:after="40" w:before="4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固定流水线无法应对违规后的重算需求</w:t>
            </w:r>
          </w:p>
        </w:tc>
      </w:tr>
      <w:tr>
        <w:trPr>
          <w:cantSplit/>
        </w:trPr>
        <w:tc>
          <w:tcPr>
            <w:tcW w:type="dxa" w:w="3024"/>
            <w:shd w:val="clear" w:fill="EEF3F9"/>
            <w:vAlign w:val="center"/>
          </w:tcPr>
          <w:p>
            <w:pPr>
              <w:spacing w:line="276" w:lineRule="auto" w:after="40" w:before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② 长期记忆与经验闭环</w:t>
            </w:r>
          </w:p>
        </w:tc>
        <w:tc>
          <w:tcPr>
            <w:tcW w:type="dxa" w:w="3024"/>
            <w:shd w:val="clear" w:fill="EEF3F9"/>
            <w:vAlign w:val="center"/>
          </w:tcPr>
          <w:p>
            <w:pPr>
              <w:spacing w:line="276" w:lineRule="auto" w:after="40" w:before="4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历史方案、用户偏好与命中规范主动注入下一轮推理</w:t>
            </w:r>
          </w:p>
        </w:tc>
        <w:tc>
          <w:tcPr>
            <w:tcW w:type="dxa" w:w="3024"/>
            <w:shd w:val="clear" w:fill="EEF3F9"/>
            <w:vAlign w:val="center"/>
          </w:tcPr>
          <w:p>
            <w:pPr>
              <w:spacing w:line="276" w:lineRule="auto" w:after="40" w:before="4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每次运行从零开始，不积累经验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line="276" w:lineRule="auto" w:after="40" w:before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③ HITL 与零幻觉计算引擎</w:t>
            </w:r>
          </w:p>
        </w:tc>
        <w:tc>
          <w:tcPr>
            <w:tcW w:type="dxa" w:w="3024"/>
            <w:vAlign w:val="center"/>
          </w:tcPr>
          <w:p>
            <w:pPr>
              <w:spacing w:line="276" w:lineRule="auto" w:after="40" w:before="4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人工锁定方案/设预算/调权重；数值全由硬编码工具算</w:t>
            </w:r>
          </w:p>
        </w:tc>
        <w:tc>
          <w:tcPr>
            <w:tcW w:type="dxa" w:w="3024"/>
            <w:vAlign w:val="center"/>
          </w:tcPr>
          <w:p>
            <w:pPr>
              <w:spacing w:line="276" w:lineRule="auto" w:after="40" w:before="4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大模型直接报数，存在工程幻觉风险</w:t>
            </w:r>
          </w:p>
        </w:tc>
      </w:tr>
    </w:tbl>
    <w:p>
      <w:pPr>
        <w:keepNext/>
        <w:spacing w:before="220" w:after="80"/>
        <w:outlineLvl w:val="1"/>
      </w:pPr>
      <w:r>
        <w:rPr>
          <w:rFonts w:ascii="Times New Roman" w:hAnsi="Times New Roman" w:eastAsia="黑体"/>
          <w:b/>
          <w:color w:val="142846"/>
          <w:sz w:val="27"/>
        </w:rPr>
        <w:t>2.6 完成度与后续规划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当前 UI 层（参数面板、推理看板、3D 可视化、专家干预面板）与底层 DAG 调度、辩论回退、规范规则/判定双层引擎均已部署上线，线上 Demo 可直接复现运行，并通过类型检查、静态检查与规范专项回归测试。不足：规范知识库以常用强条为主，复杂条文判定仍在完善。后续将接入 BIM 模型（DXF/Revit）、扩充规范知识图谱，并预留 PKPM/YJK 结构模型导出接口。</w:t>
      </w:r>
    </w:p>
    <w:p>
      <w:pPr>
        <w:keepNext/>
        <w:spacing w:before="320" w:after="120"/>
        <w:outlineLvl w:val="0"/>
      </w:pPr>
      <w:r>
        <w:rPr>
          <w:rFonts w:ascii="Times New Roman" w:hAnsi="Times New Roman" w:eastAsia="黑体"/>
          <w:b/>
          <w:color w:val="0F3C6B"/>
          <w:sz w:val="32"/>
        </w:rPr>
        <w:t>3. 演示示例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访问链接：https://liuyux0512.github.io/-Structmind-agent/ ，无需登录、无需 API Key（演示模式直接运行）。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操作步骤：①打开首页；②录入建筑面积、层数、跨度、设防烈度、预算等参数；③点击“启动方案智能生成”，观察 Planner 生成 DAG、四 Agent 协同与回退辩论的完整推理轨迹；④查看三套候选方案与七维雷达图；⑤在专家干预面板调整约束后重跑，并一键导出 PDF 报告。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测试问题：①“做一个八层办公楼，建筑面积 8000㎡，跨度 8.4 米，设防烈度 7 度”——启动完整方案比选；②“把层数从 30 层降到 20 层会怎样？”——触发反事实推演与方案对比；③“预算收紧到 1.2 亿，重新比选”——驱动参数修改指令，重跑后与上一版历史对比；④“这条规范条文怎么理解？”——调用专业知识库智能问答。完整操作与解说见随附演示视频。</w:t>
      </w:r>
    </w:p>
    <w:p>
      <w:pPr>
        <w:keepNext/>
        <w:spacing w:before="320" w:after="120"/>
        <w:outlineLvl w:val="0"/>
      </w:pPr>
      <w:r>
        <w:rPr>
          <w:rFonts w:ascii="Times New Roman" w:hAnsi="Times New Roman" w:eastAsia="黑体"/>
          <w:b/>
          <w:color w:val="0F3C6B"/>
          <w:sz w:val="32"/>
        </w:rPr>
        <w:t>团队分工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/>
        </w:trPr>
        <w:tc>
          <w:tcPr>
            <w:tcW w:type="dxa" w:w="3024"/>
            <w:shd w:val="clear" w:fill="1F4E79"/>
            <w:vAlign w:val="center"/>
          </w:tcPr>
          <w:p>
            <w:pPr>
              <w:spacing w:line="276" w:lineRule="auto" w:after="40" w:before="40"/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成员</w:t>
            </w:r>
          </w:p>
        </w:tc>
        <w:tc>
          <w:tcPr>
            <w:tcW w:type="dxa" w:w="3024"/>
            <w:shd w:val="clear" w:fill="1F4E79"/>
            <w:vAlign w:val="center"/>
          </w:tcPr>
          <w:p>
            <w:pPr>
              <w:spacing w:line="276" w:lineRule="auto" w:after="40" w:before="40"/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分工内容</w:t>
            </w:r>
          </w:p>
        </w:tc>
        <w:tc>
          <w:tcPr>
            <w:tcW w:type="dxa" w:w="3024"/>
            <w:shd w:val="clear" w:fill="1F4E79"/>
            <w:vAlign w:val="center"/>
          </w:tcPr>
          <w:p>
            <w:pPr>
              <w:spacing w:line="276" w:lineRule="auto" w:after="40" w:before="40"/>
              <w:ind w:firstLine="0"/>
              <w:jc w:val="center"/>
            </w:pPr>
            <w:r/>
            <w:r>
              <w:rPr>
                <w:rFonts w:ascii="Times New Roman" w:hAnsi="Times New Roman" w:eastAsia="黑体"/>
                <w:b/>
                <w:color w:val="FFFFFF"/>
                <w:sz w:val="21"/>
              </w:rPr>
              <w:t>AI 参与环节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line="276" w:lineRule="auto" w:after="40" w:before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刘宇翔（负责人）</w:t>
            </w:r>
          </w:p>
        </w:tc>
        <w:tc>
          <w:tcPr>
            <w:tcW w:type="dxa" w:w="3024"/>
            <w:vAlign w:val="center"/>
          </w:tcPr>
          <w:p>
            <w:pPr>
              <w:spacing w:line="276" w:lineRule="auto" w:after="40" w:before="4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产品架构、DAG 调度引擎与核心管线开发、前端与 3D 可视化</w:t>
            </w:r>
          </w:p>
        </w:tc>
        <w:tc>
          <w:tcPr>
            <w:tcW w:type="dxa" w:w="3024"/>
            <w:vAlign w:val="center"/>
          </w:tcPr>
          <w:p>
            <w:pPr>
              <w:spacing w:line="276" w:lineRule="auto" w:after="40" w:before="4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AI 辅助生成/重构核心代码，人工做影子并行验证与逻辑纠偏</w:t>
            </w:r>
          </w:p>
        </w:tc>
      </w:tr>
      <w:tr>
        <w:trPr>
          <w:cantSplit/>
        </w:trPr>
        <w:tc>
          <w:tcPr>
            <w:tcW w:type="dxa" w:w="3024"/>
            <w:shd w:val="clear" w:fill="EEF3F9"/>
            <w:vAlign w:val="center"/>
          </w:tcPr>
          <w:p>
            <w:pPr>
              <w:spacing w:line="276" w:lineRule="auto" w:after="40" w:before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李国扬</w:t>
            </w:r>
          </w:p>
        </w:tc>
        <w:tc>
          <w:tcPr>
            <w:tcW w:type="dxa" w:w="3024"/>
            <w:shd w:val="clear" w:fill="EEF3F9"/>
            <w:vAlign w:val="center"/>
          </w:tcPr>
          <w:p>
            <w:pPr>
              <w:spacing w:line="276" w:lineRule="auto" w:after="40" w:before="4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界面交互设计、演示视频录制</w:t>
            </w:r>
          </w:p>
        </w:tc>
        <w:tc>
          <w:tcPr>
            <w:tcW w:type="dxa" w:w="3024"/>
            <w:shd w:val="clear" w:fill="EEF3F9"/>
            <w:vAlign w:val="center"/>
          </w:tcPr>
          <w:p>
            <w:pPr>
              <w:spacing w:line="276" w:lineRule="auto" w:after="40" w:before="4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AI 辅助组件与文案生成，人工视觉调优</w:t>
            </w:r>
          </w:p>
        </w:tc>
      </w:tr>
      <w:tr>
        <w:trPr>
          <w:cantSplit/>
        </w:trPr>
        <w:tc>
          <w:tcPr>
            <w:tcW w:type="dxa" w:w="3024"/>
            <w:vAlign w:val="center"/>
          </w:tcPr>
          <w:p>
            <w:pPr>
              <w:spacing w:line="276" w:lineRule="auto" w:after="40" w:before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吕勇宽</w:t>
            </w:r>
          </w:p>
        </w:tc>
        <w:tc>
          <w:tcPr>
            <w:tcW w:type="dxa" w:w="3024"/>
            <w:vAlign w:val="center"/>
          </w:tcPr>
          <w:p>
            <w:pPr>
              <w:spacing w:line="276" w:lineRule="auto" w:after="40" w:before="4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规范口径梳理、测试验证、文档排版</w:t>
            </w:r>
          </w:p>
        </w:tc>
        <w:tc>
          <w:tcPr>
            <w:tcW w:type="dxa" w:w="3024"/>
            <w:vAlign w:val="center"/>
          </w:tcPr>
          <w:p>
            <w:pPr>
              <w:spacing w:line="276" w:lineRule="auto" w:after="40" w:before="4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将规范条文拆解为工具参数，人工校验工程语义</w:t>
            </w:r>
          </w:p>
        </w:tc>
      </w:tr>
      <w:tr>
        <w:trPr>
          <w:cantSplit/>
        </w:trPr>
        <w:tc>
          <w:tcPr>
            <w:tcW w:type="dxa" w:w="3024"/>
            <w:shd w:val="clear" w:fill="EEF3F9"/>
            <w:vAlign w:val="center"/>
          </w:tcPr>
          <w:p>
            <w:pPr>
              <w:spacing w:line="276" w:lineRule="auto" w:after="40" w:before="40"/>
              <w:ind w:firstLine="0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张盛涵</w:t>
            </w:r>
          </w:p>
        </w:tc>
        <w:tc>
          <w:tcPr>
            <w:tcW w:type="dxa" w:w="3024"/>
            <w:shd w:val="clear" w:fill="EEF3F9"/>
            <w:vAlign w:val="center"/>
          </w:tcPr>
          <w:p>
            <w:pPr>
              <w:spacing w:line="276" w:lineRule="auto" w:after="40" w:before="4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演示材料、答辩与项目资料整理</w:t>
            </w:r>
          </w:p>
        </w:tc>
        <w:tc>
          <w:tcPr>
            <w:tcW w:type="dxa" w:w="3024"/>
            <w:shd w:val="clear" w:fill="EEF3F9"/>
            <w:vAlign w:val="center"/>
          </w:tcPr>
          <w:p>
            <w:pPr>
              <w:spacing w:line="276" w:lineRule="auto" w:after="40" w:before="40"/>
              <w:ind w:firstLine="0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1"/>
              </w:rPr>
              <w:t>AI 辅助内容组织，人工修订核验</w:t>
            </w:r>
          </w:p>
        </w:tc>
      </w:tr>
    </w:tbl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本项目采用“人机协同”开发模式：AI 负责代码生成与辅助，人工负责架构决策、规范核验与最终把关，所有环节均经人工验证。详见随附《人机协同履历表》。</w:t>
      </w:r>
    </w:p>
    <w:p>
      <w:pPr>
        <w:keepNext/>
        <w:spacing w:before="320" w:after="120"/>
        <w:outlineLvl w:val="0"/>
      </w:pPr>
      <w:r>
        <w:rPr>
          <w:rFonts w:ascii="Times New Roman" w:hAnsi="Times New Roman" w:eastAsia="黑体"/>
          <w:b/>
          <w:color w:val="0F3C6B"/>
          <w:sz w:val="32"/>
        </w:rPr>
        <w:t>附：免责声明与规范依据</w:t>
      </w:r>
    </w:p>
    <w:p>
      <w:pPr>
        <w:spacing w:before="0" w:after="0" w:lineRule="auto" w:line="360"/>
        <w:ind w:firstLine="480"/>
      </w:pPr>
      <w:r>
        <w:rPr>
          <w:rFonts w:ascii="Times New Roman" w:hAnsi="Times New Roman" w:eastAsia="宋体"/>
          <w:b w:val="0"/>
          <w:sz w:val="24"/>
        </w:rPr>
        <w:t>本系统计算基于经验公式与简化假定，仅供建筑方案前期概念比选，不构成设计依据；实际工程须由注册结构工程师按现行国标复核。主要规范依据：GB 55002-2021《建筑与市政工程抗震通用规范》、GB/T 50011-2010《建筑抗震设计标准》（2024 年局部修订）、GB/T 51366-2019《建筑碳排放计算标准》。</w:t>
      </w:r>
    </w:p>
    <w:sectPr w:rsidR="00FC693F" w:rsidRPr="0006063C" w:rsidSect="00034616">
      <w:pgSz w:w="11906" w:h="16838"/>
      <w:pgMar w:top="1361" w:right="1417" w:bottom="136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