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 / 成员：＿＿＿＿＿＿＿＿（请填写）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目  录</w:t>
      </w:r>
    </w:p>
    <w:p>
      <w:r>
        <w:fldChar w:fldCharType="begin"/>
        <w:instrText xml:space="preserve">TOC \o "1-2" \h \z \u</w:instrText>
        <w:fldChar w:fldCharType="separate"/>
        <w:r>
          <w:t>右键“更新域”刷新目录</w:t>
        </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1. 项目背景与场景</w:t>
      </w:r>
    </w:p>
    <w:p>
      <w:pPr>
        <w:pStyle w:val="Heading2"/>
      </w:pPr>
      <w:r>
        <w:t>1.1 目标用户</w:t>
      </w:r>
    </w:p>
    <w:p>
      <w:pPr/>
      <w:r>
        <w:rPr>
          <w:rFonts w:ascii="Times New Roman" w:hAnsi="Times New Roman" w:eastAsia="宋体"/>
        </w:rPr>
        <w:t>本作品面向建筑结构方案阶段的设计决策人群，主要包括：结构工程师与方案设计团队、建筑设计单位前期技术部门、房地产开发与建设单位技术岗、土木工程相关专业师生，以及关注绿色低碳设计的技术决策者。</w:t>
      </w:r>
    </w:p>
    <w:p>
      <w:pPr>
        <w:pStyle w:val="Heading2"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建筑结构方案阶段存在三重痛点：其一，方案比选依赖人工试算与经验判断，从结构体系初选、截面拟定到规范校核、造价与碳排放评估，需在多个维度反复迭代，周期长、主观性强；其二，现行国家标准条目繁多、判定规则耦合复杂，人工逐条核对易遗漏，合规结论难以快速追溯条文依据；其三，造价、工期、绿色低碳等目标往往相互冲突，缺乏统一的多目标量化权衡手段，决策信息不完整。</w:t>
      </w:r>
    </w:p>
    <w:p>
      <w:pPr>
        <w:pStyle w:val="Heading2"/>
      </w:pPr>
      <w:r>
        <w:t>1.3 使用场景</w:t>
      </w:r>
    </w:p>
    <w:p>
      <w:pPr/>
      <w:r>
        <w:rPr>
          <w:rFonts w:ascii="Times New Roman" w:hAnsi="Times New Roman" w:eastAsia="宋体"/>
        </w:rPr>
        <w:t>典型使用场景包括：新建多层/高层建筑方案前期比选、结构体系与截面快速探索、多方案“安全—经济—绿色”综合权衡、规范合规快速体检，以及作为 PKPM、YJK 等专业结构软件的“智能前端”进行方案阶段预筛选。</w:t>
      </w:r>
    </w:p>
    <w:p>
      <w:pPr>
        <w:pStyle w:val="Heading2"/>
      </w:pPr>
      <w:r>
        <w:t>1.4 价值体现</w:t>
      </w:r>
    </w:p>
    <w:p>
      <w:pPr/>
      <w:r>
        <w:rPr>
          <w:rFonts w:ascii="Times New Roman" w:hAnsi="Times New Roman" w:eastAsia="宋体"/>
        </w:rPr>
        <w:t>本作品将方案阶段从“经验驱动”升级为“AI 协同驱动”：以多智能体协同完成结构选型、规范校核、经济与碳排放评估、综合推荐的全流程自动化，同时通过人工在环（HITL）机制将最终决策权保留在持证工程师手中，兼顾效率、合规与责任边界。</w:t>
      </w:r>
    </w:p>
    <w:p>
      <w:pPr>
        <w:pStyle w:val="Heading1"/>
      </w:pPr>
      <w:r>
        <w:t>2. 功能说明</w:t>
      </w:r>
    </w:p>
    <w:p>
      <w:pPr>
        <w:pStyle w:val="Heading2"/>
      </w:pPr>
      <w:r>
        <w:t>2.1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方案智能生成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输入层数、面积、跨度、设防烈度、预算等工程参数，自动生成框架、框架-剪力墙、钢结构等候选方案并拟定初始截面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规范逐条校核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 GB 55002-2021、GB/T 50011-2010（2024 年版）等现行标准，对抗震、耐火、位移等指标逐条硬判定，输出限值对照与条文号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七维综合比选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从结构安全、经济性、施工可行性、规范合规、绿色低碳、可维护性、创新性七维量化评分，输出雷达图与推荐方案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多目标经济评估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对总造价、施工工期、单位面积碳排放进行多目标量化对比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智能问答与干预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支持语义意图解析与澄清；提供人工在环面板，可锁定方案、设定预算上限、注入工程备注并约束下重跑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结果导出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一键导出 PDF 优化报告，以及可供 PKPM/YJK 等专业软件继续建模的结构文件</w:t>
            </w:r>
          </w:p>
        </w:tc>
      </w:tr>
    </w:tbl>
    <w:p>
      <w:pPr>
        <w:pStyle w:val="Heading2"/>
      </w:pPr>
      <w:r>
        <w:t>2.2 技术方案与总体架构</w:t>
      </w:r>
    </w:p>
    <w:p>
      <w:pPr/>
      <w:r>
        <w:rPr>
          <w:rFonts w:ascii="Times New Roman" w:hAnsi="Times New Roman" w:eastAsia="宋体"/>
        </w:rPr>
        <w:t>系统采用“前端纯静态应用 + 多智能体协同管线”的整体架构，大模型仅承担意图理解与表达调度，不参与具体力学数值计算；规范校核与造价、碳排放计算全部走确定性硬编码规则引擎，从根本上规避结构计算领域的“大模型幻觉”风险。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646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4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1  智构 StructMind 多智能体协同总体架构</w:t>
      </w:r>
    </w:p>
    <w:p>
      <w:pPr/>
      <w:r>
        <w:rPr>
          <w:rFonts w:ascii="Times New Roman" w:hAnsi="Times New Roman" w:eastAsia="宋体"/>
        </w:rPr>
        <w:t>管线包含五个核心智能体：意图理解 Agent 完成参数语义归一与歧义澄清；方案创作工程师生成候选体系与初始截面；规范校核工程师按现行国标逐条硬判定；经济评估工程师完成造价、工期、碳排放多目标量化；总工评审 Agent 汇聚各方论点，组织反思与辩论仲裁，给出加权评分、推荐方案、风险提示与置信度。规范知识库、硬编码计算引擎与人工干预入口分别向各智能体提供权威依据、确定性计算与决策约束。</w:t>
      </w:r>
    </w:p>
    <w:p>
      <w:pPr>
        <w:pStyle w:val="Heading2"/>
      </w:pPr>
      <w:r>
        <w:t>2.3 Agent 真实推理机制</w:t>
      </w:r>
    </w:p>
    <w:p>
      <w:pPr/>
      <w:r>
        <w:rPr>
          <w:rFonts w:ascii="Times New Roman" w:hAnsi="Times New Roman" w:eastAsia="宋体"/>
        </w:rPr>
        <w:t>区别于“Prompt 串行”的伪智能体，本系统引入状态机与回退闭环：规范校核发现违规时，将问题写回共享上下文并打回方案创作重新选型；经济评估与总工评审在目标冲突时通过辩论与仲裁拍板，形成“校核—回退—重算—仲裁”的真实推理回路。执行全程以节点树与推理轨迹可视化呈现，评审可逐节点回看“思考—查规范—判定—重算”过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698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为支撑该推理回路，系统对 LLM 工具调用进行了防错位改造：每次工具调用均记录调用参数（含 systemId），结果按参数键而非输出顺序对齐，杜绝乱序调用导致的数据错位；全部 LLM 调用内置自动重试与退避机制，网络抖动时自动降级并续跑。</w:t>
      </w:r>
    </w:p>
    <w:p>
      <w:pPr>
        <w:pStyle w:val="Heading2"/>
      </w:pPr>
      <w:r>
        <w:t>2.4 方案比选与决策</w:t>
      </w:r>
    </w:p>
    <w:p>
      <w:pPr/>
      <w:r>
        <w:rPr>
          <w:rFonts w:ascii="Times New Roman" w:hAnsi="Times New Roman" w:eastAsia="宋体"/>
        </w:rPr>
        <w:t>系统对候选方案在七个维度进行归一化评分并绘制雷达图（数据为产品运行示例），同时对比总造价、施工工期与单位面积碳排放三项关键指标，为总工评审的加权推荐提供量化依据。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4010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0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3  候选方案七维综合比选雷达图（示例数据）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77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7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4  三套候选方案关键指标对比（示例数据）</w:t>
      </w:r>
    </w:p>
    <w:p>
      <w:pPr>
        <w:pStyle w:val="Heading2"/>
      </w:pPr>
      <w:r>
        <w:t>2.5 规范依据与合规可追溯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系统内置结构化规范知识库，逐条判定均绑定现行有效的标准条文与限值对照，点击条文号可展开原文，保证结论可追溯、可复核。现行依据如下：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标准编号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标准名称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实施日期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建筑与市政工程抗震通用规范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2022-01-01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 · 全文强制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建筑抗震设计标准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2024-08-01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现行（替代 GB 50011-2010 2016 年版）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建筑碳排放计算标准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2019-12-01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现行</w:t>
            </w:r>
          </w:p>
        </w:tc>
      </w:tr>
    </w:tbl>
    <w:p>
      <w:pPr>
        <w:pStyle w:val="Heading2"/>
      </w:pPr>
      <w:r>
        <w:t>2.6 创新与差异化</w:t>
      </w:r>
    </w:p>
    <w:p>
      <w:pPr/>
      <w:r>
        <w:rPr>
          <w:rFonts w:ascii="Times New Roman" w:hAnsi="Times New Roman" w:eastAsia="宋体"/>
        </w:rPr>
        <w:t>其一，大模型只做调度、规则引擎算结构，隔离推理与计算，规避幻觉与权责风险；其二，多 Agent 真实协同（状态机 + 回退 + 辩论仲裁），而非线性 Prompt 串行；其三，规范校核走结构化规则判定而非纯文本检索，保证专业准确性；其四，人工在环机制将最终决策权留给工程师，体现人机协同；其五，面向 PKPM/YJK 等专业软件提供“智能前端”衔接，定位为专业软件的加速器而非替代者。</w:t>
      </w:r>
    </w:p>
    <w:p>
      <w:pPr>
        <w:pStyle w:val="Heading1"/>
      </w:pPr>
      <w:r>
        <w:t>3. 演示示例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5336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3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5  智构 StructMind 产品主界面（线上 Demo）</w:t>
      </w:r>
    </w:p>
    <w:p>
      <w:pPr/>
      <w:r>
        <w:rPr>
          <w:rFonts w:ascii="Times New Roman" w:hAnsi="Times New Roman" w:eastAsia="宋体"/>
        </w:rPr>
        <w:t>以一个八层办公楼为例：输入建筑面积 8000 平方米、跨度 8.4 米、设防烈度 7 度、预算 1.2 亿元，点击“启动方案智能生成”。系统依次调度意图理解、方案创作、规范校核、经济评估、总工评审五个智能体，展示完整推理轨迹；规范校核发现一项不满足时回退重算。最终给出三套候选方案（框架 / 框架-剪力墙 / 钢结构）及其七维比选雷达图与推荐结论。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</w:pPr>
      <w:r>
        <w:t>4. 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产品架构与系统设计；工程规则引擎、多智能体管线与前端开发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通过豆包 / DeepSeek 等 AI 智能体完成代码生成、重构、评审与修复；AI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（待补充：演示视频录制、文档排版、答辩准备等）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（待补充）</w:t>
            </w:r>
          </w:p>
        </w:tc>
      </w:tr>
    </w:tbl>
    <w:p>
      <w:pPr/>
      <w:r>
        <w:rPr>
          <w:rFonts w:ascii="Times New Roman" w:hAnsi="Times New Roman" w:eastAsia="宋体"/>
        </w:rPr>
        <w:t>说明：人机协同的具体分工、AI 参与环节及修改验证过程，详见随附《人机协同履历表》。</w:t>
      </w:r>
    </w:p>
    <w:p>
      <w:pPr>
        <w:pStyle w:val="Heading1"/>
      </w:pPr>
      <w:r>
        <w:t>5. 完成度与后续规划</w:t>
      </w:r>
    </w:p>
    <w:p>
      <w:pPr/>
      <w:r>
        <w:rPr>
          <w:rFonts w:ascii="Times New Roman" w:hAnsi="Times New Roman" w:eastAsia="宋体"/>
        </w:rPr>
        <w:t>当前版本已完成多智能体协同管线、规范硬判定、七维比选、3D 结构可视化、专家干预、PDF 与结构文件导出等核心能力，线上 Demo 可稳定运行，并通过类型检查、静态检查与专项回归测试全量验证。</w:t>
      </w:r>
    </w:p>
    <w:p>
      <w:pPr/>
      <w:r>
        <w:rPr>
          <w:rFonts w:ascii="Times New Roman" w:hAnsi="Times New Roman" w:eastAsia="宋体"/>
        </w:rPr>
        <w:t>后续规划：接入真实专业结构计算内核（PKPM / YJK 接口），扩充场地类别、基础形式、风荷载等专家级参数，支持 CAD/Revit 模型导入，引入更多结构体系与建材碳排放数据库，逐步从“方案阶段智能前端”走向“设计-校核-优化”一体化工作台。</w:t>
      </w:r>
    </w:p>
    <w:p>
      <w:pPr>
        <w:pStyle w:val="Heading1"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