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8D77" w14:textId="77777777" w:rsidR="00B032ED" w:rsidRDefault="00000000">
      <w:pPr>
        <w:spacing w:after="102" w:line="259" w:lineRule="auto"/>
        <w:ind w:left="0" w:firstLine="0"/>
        <w:jc w:val="left"/>
      </w:pPr>
      <w:r>
        <w:rPr>
          <w:sz w:val="34"/>
        </w:rPr>
        <w:t>References</w:t>
      </w:r>
    </w:p>
    <w:p w14:paraId="7E02DC61" w14:textId="77777777" w:rsidR="00B032ED" w:rsidRDefault="00000000">
      <w:pPr>
        <w:numPr>
          <w:ilvl w:val="0"/>
          <w:numId w:val="1"/>
        </w:numPr>
        <w:ind w:right="-15" w:hanging="481"/>
      </w:pPr>
      <w:r>
        <w:t xml:space="preserve">A. Licciardi, Q. Bletery, B. Rouet-Leduc, J.-P. Ampuero, and K. Juhel, “Instantaneous tracking of earthquake growth with elastogravity signals,” </w:t>
      </w:r>
      <w:r>
        <w:rPr>
          <w:i/>
        </w:rPr>
        <w:t>Nature</w:t>
      </w:r>
      <w:r>
        <w:t>, vol. 606, no. 7913, pp. 319–324, 2022.</w:t>
      </w:r>
    </w:p>
    <w:p w14:paraId="4ECD6063" w14:textId="77777777" w:rsidR="00B032ED" w:rsidRDefault="00000000">
      <w:pPr>
        <w:numPr>
          <w:ilvl w:val="0"/>
          <w:numId w:val="1"/>
        </w:numPr>
        <w:ind w:right="-15" w:hanging="481"/>
      </w:pPr>
      <w:r>
        <w:t xml:space="preserve">T. Perol, M. Gharbi, and M. Denolle, “Convolutional neural network for earthquake detection and location,” </w:t>
      </w:r>
      <w:r>
        <w:rPr>
          <w:i/>
        </w:rPr>
        <w:t>Science Advances</w:t>
      </w:r>
      <w:r>
        <w:t>, vol. 4, no. 2, e1700578, 2018.</w:t>
      </w:r>
    </w:p>
    <w:p w14:paraId="37F78637" w14:textId="77777777" w:rsidR="00B032ED" w:rsidRDefault="00000000">
      <w:pPr>
        <w:numPr>
          <w:ilvl w:val="0"/>
          <w:numId w:val="1"/>
        </w:numPr>
        <w:ind w:right="-15" w:hanging="481"/>
      </w:pPr>
      <w:r>
        <w:t xml:space="preserve">C. X. Ren, C. Hulbert, P. A. Johnson, and B. Rouet-Leduc, “Machine learning and fault rupture: A review,” </w:t>
      </w:r>
      <w:r>
        <w:rPr>
          <w:i/>
        </w:rPr>
        <w:t>Advances in Geophysics</w:t>
      </w:r>
      <w:r>
        <w:t>, vol. 61, pp. 57–107, 2020.</w:t>
      </w:r>
    </w:p>
    <w:p w14:paraId="2DE4B410" w14:textId="77777777" w:rsidR="00B032ED" w:rsidRDefault="00000000">
      <w:pPr>
        <w:numPr>
          <w:ilvl w:val="0"/>
          <w:numId w:val="1"/>
        </w:numPr>
        <w:spacing w:after="7267"/>
        <w:ind w:right="-15" w:hanging="481"/>
      </w:pPr>
      <w:r>
        <w:t xml:space="preserve">D. J. Wald, “Practical limitations of earthquake early warning,” </w:t>
      </w:r>
      <w:r>
        <w:rPr>
          <w:i/>
        </w:rPr>
        <w:t>Earthquake Spectra</w:t>
      </w:r>
      <w:r>
        <w:t>, vol. 36, no. 3, pp. 1412–1447, 2020.</w:t>
      </w:r>
    </w:p>
    <w:p w14:paraId="39DC999D" w14:textId="33C91526" w:rsidR="00B032ED" w:rsidRDefault="00B032ED" w:rsidP="003007BA">
      <w:pPr>
        <w:spacing w:after="0" w:line="259" w:lineRule="auto"/>
        <w:ind w:left="0" w:firstLine="0"/>
      </w:pPr>
    </w:p>
    <w:sectPr w:rsidR="00B032ED">
      <w:pgSz w:w="12240" w:h="15840"/>
      <w:pgMar w:top="1440" w:right="2252" w:bottom="1440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187B"/>
    <w:multiLevelType w:val="hybridMultilevel"/>
    <w:tmpl w:val="DC567B1E"/>
    <w:lvl w:ilvl="0" w:tplc="A8681C5E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C19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0054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DA82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047D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0FF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6FB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605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2C7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97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ED"/>
    <w:rsid w:val="003007BA"/>
    <w:rsid w:val="00B0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E8A5"/>
  <w15:docId w15:val="{9EC750B2-9F4C-4867-8C0E-C7809E7B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9" w:line="253" w:lineRule="auto"/>
      <w:ind w:left="491" w:hanging="491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Yingying</dc:creator>
  <cp:keywords/>
  <cp:lastModifiedBy>Liu Yingying</cp:lastModifiedBy>
  <cp:revision>2</cp:revision>
  <dcterms:created xsi:type="dcterms:W3CDTF">2023-10-12T08:05:00Z</dcterms:created>
  <dcterms:modified xsi:type="dcterms:W3CDTF">2023-10-12T08:05:00Z</dcterms:modified>
</cp:coreProperties>
</file>