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40" w:line="360" w:lineRule="auto"/>
        <w:jc w:val="center"/>
      </w:pPr>
      <w:r>
        <w:rPr>
          <w:rFonts w:ascii="Times New Roman" w:hAnsi="Times New Roman" w:eastAsia="黑体" w:cs="Times New Roman"/>
          <w:sz w:val="44"/>
          <w:szCs w:val="44"/>
        </w:rPr>
        <w:t xml:space="preserve">人形机器人从技术突破走向规模化应用面临的障碍研究</w:t>
      </w:r>
    </w:p>
    <w:p>
      <w:pPr>
        <w:spacing w:before="0" w:after="240" w:line="360" w:lineRule="auto"/>
        <w:jc w:val="center"/>
      </w:pPr>
      <w:r>
        <w:rPr>
          <w:rFonts w:ascii="Times New Roman" w:hAnsi="Times New Roman" w:eastAsia="宋体" w:cs="Times New Roman"/>
          <w:sz w:val="24"/>
          <w:szCs w:val="24"/>
        </w:rPr>
        <w:t xml:space="preserve">（【年级-专业班级-学号-姓名】）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摘要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本文聚焦人形机器人“技术突破”与“规模化应用”之间的落差，以“十五五”规划对具身智能的前瞻布局为政策坐标，综合政策文本、产业数据与典型案例，界定规模化应用在量产成本、场景渗透率、运行可靠性与标准完备度四个维度的衡量口径，梳理“技术已突破、规模未跟上”的具体表现，分析其在技术、产业、人才、制度与安全层面的主要制约，进而提出核心零部件国产化降本、仿真与真实场景数据闭环、行业标准与示范场景开放三项专业方案，并探讨机器人专业学生在创新与安全、个人与国家之间的责任担当。研究发现，人形机器人规模化应用的关键不在单点技术突破，而在于成本、可靠性与标准等系统性矛盾的协同破解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关键词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人形机器人；具身智能；未来产业；规模化应用；“十五五”规划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一、政策定位与问题提出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“十五五”规划纲要将“具身智能”列为前瞻布局的六大未来产业之一，与量子科技、生物制造、氢能和核聚变能、脑机接口、第六代移动通信（6G）并列，这是未来产业首次被明确纳入国家重大工程体系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[1]</w:t>
      </w:r>
      <w:r>
        <w:rPr>
          <w:rFonts w:ascii="Times New Roman" w:hAnsi="Times New Roman" w:eastAsia="宋体" w:cs="Times New Roman"/>
          <w:sz w:val="24"/>
          <w:szCs w:val="24"/>
        </w:rPr>
        <w:t xml:space="preserve">。2026年《政府工作报告》进一步提出“培育壮大新兴产业和未来产业……建立未来产业投入增长和风险分担机制，培育发展未来能源、量子科技、具身智能、脑机接口、6G等未来产业”，政策重心由此从“战略谋划”转向“投入增长＋风险分担”的制度保障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[2]</w:t>
      </w:r>
      <w:r>
        <w:rPr>
          <w:rFonts w:ascii="Times New Roman" w:hAnsi="Times New Roman" w:eastAsia="宋体" w:cs="Times New Roman"/>
          <w:sz w:val="24"/>
          <w:szCs w:val="24"/>
        </w:rPr>
        <w:t xml:space="preserve">。人形机器人被视为具身智能的核心形态、人工智能的物理载体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[3]</w:t>
      </w:r>
      <w:r>
        <w:rPr>
          <w:rFonts w:ascii="Times New Roman" w:hAnsi="Times New Roman" w:eastAsia="宋体" w:cs="Times New Roman"/>
          <w:sz w:val="24"/>
          <w:szCs w:val="24"/>
        </w:rPr>
        <w:t xml:space="preserve">，承载着以人机共融重构生产生活方式的发展预期。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本文以人形机器人为研究对象，时间范围聚焦“十五五”时期（2026—2030年），中心问题是：在技术突破已多有呈现的条件下，其规模化应用为何仍然受阻。为使问题可界定、可论证，本文以四个口径衡量“规模化应用”：一是量产成本，即单机成本是否下降到可被行业普遍接受的水平；二是场景渗透率，即是否从演示走向工厂、养老、服务等真实场景的稳定使用；三是运行可靠性，即长时间、多场景下的成功率与可维护性；四是标准完备度，即安全、互操作、测评等标准的成熟程度。凡技术可演示却未在上述四个口径达标者，均不能视为已实现规模化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二、现状与证据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从公开信息看，人形机器人呈现“技术突破频现、规模落地滞后”的明显落差，具体表现为“实验室强、场景弱”“演示多、量产少”。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在技术突破一侧，2026年北京亦庄人形机器人半程马拉松中，参赛机器人实现长距离稳定奔跑；江西南昌某工厂的人形机器人完成并线生产，单道工序约18秒、作业成功率98.5%以上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[4]</w:t>
      </w:r>
      <w:r>
        <w:rPr>
          <w:rFonts w:ascii="Times New Roman" w:hAnsi="Times New Roman" w:eastAsia="宋体" w:cs="Times New Roman"/>
          <w:sz w:val="24"/>
          <w:szCs w:val="24"/>
        </w:rPr>
        <w:t xml:space="preserve">。在场景落地一侧，优必选Walker S系列工业人形机器人在比亚迪、极氪等汽车工厂“成批上岗”，乐聚“夸父”进入养老院提供生活辅助、健康监测与情感陪护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[5]</w:t>
      </w:r>
      <w:r>
        <w:rPr>
          <w:rFonts w:ascii="Times New Roman" w:hAnsi="Times New Roman" w:eastAsia="宋体" w:cs="Times New Roman"/>
          <w:sz w:val="24"/>
          <w:szCs w:val="24"/>
        </w:rPr>
        <w:t xml:space="preserve">，但总体仍处于点状示范、尚未形成稳定渗透。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在产业与资本一侧，2026年前两个月具身智能机器人投资规模约为2025年全年的一半；国内人形机器人整机企业已超140家、发布产品超330款；“十五五”期间预计新增相关创新中心和实验室约100个、新培育专精特新企业近500家，新增数据采集员、机器人群体协同运营师等岗位超100万个；中国具身智能产业市场规模预计2030年达到4000亿元，相关产业整体规模预计增长10倍以上、突破数千亿乃至万亿元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[3][4]</w:t>
      </w:r>
      <w:r>
        <w:rPr>
          <w:rFonts w:ascii="Times New Roman" w:hAnsi="Times New Roman" w:eastAsia="宋体" w:cs="Times New Roman"/>
          <w:sz w:val="24"/>
          <w:szCs w:val="24"/>
        </w:rPr>
        <w:t xml:space="preserve">。上述数据表明：供给端的热度已充分释放，但需求端的规模化尚待兑现。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这种“技术可演示、规模未跟上”的落差提示我们：瓶颈不在“能否做出来”，而在“能否低成本、高可靠、可复制地做出来并卖出去”。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三、原因与矛盾分析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围绕规模化应用的四个衡量口径，本文筛选出以下主要制约。其中“通用性与可靠性不足、成本高企”构成主要矛盾，其余为结构性配套矛盾。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（一）通用性与可靠性不足，制约场景渗透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现有人形机器人多面向特定任务训练，跨场景泛化能力弱；长时间、非结构化环境下的稳定性不足，故障率与维护成本偏高，导致其难以从“演示达标”过渡到“持续上岗”。这是场景渗透率上不去的直接原因。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（二）核心零部件成本高、高端硬件依赖进口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减速器、伺服电机、灵巧手、高精度传感器等关键零部件成本占比高，部分高端环节仍依赖进口，直接推高单机成本，使量产失去经济可行性。成本约束与规模效应互为因果：量上不去、成本下不来，形成“越少越贵、越贵越少”的循环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（三）数据与场景供给不足，训练闭环难以建立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高质量真实场景数据稀缺、采集成本高，仿真与真实环境之间存在“Sim-to-Real”鸿沟；应用场景开放度低、示范场景不足，使算法迭代缺乏真实反馈，进一步延缓可靠性提升。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（四）标准与安全规范缺失、人才结构性缺口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人形机器人的安全、互操作、测评等标准尚不完善（2025年工业和信息化部方成立人形机器人与具身智能标准化技术委员会）</w:t>
      </w:r>
      <w:r>
        <w:rPr>
          <w:rFonts w:ascii="Times New Roman" w:hAnsi="Times New Roman" w:eastAsia="宋体" w:cs="Times New Roman"/>
          <w:vertAlign w:val="superscript"/>
          <w:sz w:val="24"/>
          <w:szCs w:val="24"/>
        </w:rPr>
        <w:t xml:space="preserve">[3]</w:t>
      </w:r>
      <w:r>
        <w:rPr>
          <w:rFonts w:ascii="Times New Roman" w:hAnsi="Times New Roman" w:eastAsia="宋体" w:cs="Times New Roman"/>
          <w:sz w:val="24"/>
          <w:szCs w:val="24"/>
        </w:rPr>
        <w:t xml:space="preserve">，合规与认证路径不清晰；同时既懂机器人本体、又懂人工智能与场景的复合型人才缺口明显，制约产品化与交付能力。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四、专业解决方案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针对上述矛盾，本文提出三项专业对策，每项均明确实施主体、专业原理、实施步骤、条件、风险与预期效果。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（一）核心零部件国产化降本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【实施主体】主机厂联合减速器、伺服、灵巧手、传感器等零部件企业及科研院所。【专业原理】通过正向设计与工艺突破，降低高精度零部件的制造成本与对外依存度，配合规模化量产摊薄单位成本。【实施步骤】先聚焦高价值、高占比环节（减速器、灵巧手、力/视觉传感器）集中攻关，再逐步扩大国产化清单；同步建立零部件可靠性测试与寿命评估体系。【条件】持续的研发投入与稳定的市场需求预期。【风险】单一环节突破难以快速形成整机成本优势，国产化初期可靠性需以时间验证。【预期效果】单机成本显著下降，为规模化应用扫清成本障碍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（二）仿真与真实场景数据闭环（Sim-to-Real）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【实施主体】科研机构与主机厂共建仿真训练与数据平台。【专业原理】以高保真物理仿真环境（如Gazebo等）生成大规模、可标注训练数据，再以真实场景少量数据做迁移与校准，缩小仿真与真实的分布差距，加快算法迭代。【实施步骤】构建仿真—真实对齐的数字孪生环境；建立数据采集、标注、回灌的标准流程；以示范场景的真实运行数据持续反哺仿真模型。【条件】高保真仿真引擎、充足算力与标准化数据接口。【风险】仿真过度拟合、真实环境泛化不足，需以实测校准兜底。【预期效果】降低数据成本、加速可靠性收敛，提升跨场景泛化能力。</w:t>
      </w:r>
    </w:p>
    <w:p>
      <w:pPr>
        <w:spacing w:before="120" w:after="60" w:line="360" w:lineRule="auto"/>
        <w:jc w:val="both"/>
      </w:pPr>
      <w:r>
        <w:rPr>
          <w:rFonts w:ascii="Times New Roman" w:hAnsi="Times New Roman" w:eastAsia="黑体" w:cs="Times New Roman"/>
          <w:sz w:val="28"/>
          <w:szCs w:val="28"/>
        </w:rPr>
        <w:t xml:space="preserve">（三）行业标准、安全认证与示范场景开放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【实施主体】政府主管部门牵头，标准化机构、行业协会与龙头企业协同。【专业原理】以标准定门槛、以认证保安全、以场景促迭代，通过制度供给降低产业不确定性与试错成本。【实施步骤】加快制定安全、互操作、测评等标准；建立分级安全认证与责任界定机制；开放工厂、养老、公共服务等先导示范场景，形成可复制的商业模式。【条件】多方协同机制与稳定的政策预期。【风险】标准过早固化可能抑制技术演进，需保持标准的开放性。【预期效果】降低合规成本、明确安全边界，加速从示范走向规模化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五、价值判断与青年责任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【本部分需结合本人立场独立撰写，约200—300字，建议围绕以下关系展开并落点到机器人专业学生的具体责任。】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可展开的关系：（1）创新与安全——技术快速演进与安全底线、伦理约束如何平衡；（2）效率与公平——人形机器人替代部分岗位与就业结构调整的关系；（3）个人与国家——将个人专业选择融入国家未来产业布局（如国产替代、自主可控）。可落点的具体责任：技术报国与国产替代、守住安全与伦理底线、推动标准与行业生态建设等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六、结论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人形机器人已处于“技术突破—规模化应用”的关键拐点，其规模化受阻的根源不在单点技术，而在成本、可靠性、标准等系统性矛盾的叠加。破解之道在于：以核心零部件国产化降低成本，以仿真—真实数据闭环提升可靠性与泛化能力，以标准、认证与示范场景开放降低制度不确定性。对机器人专业学生而言，既要在专业上补齐核心技术短板，更要在价值上自觉把个人成长融入国家未来产业发展大局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参考文献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[1] 中华人民共和国全国人民代表大会：《中华人民共和国国民经济和社会发展第十五个五年规划纲要》，2026年3月12日通过，新华社2026年3月13日受权播发，https://www.gov.cn/，访问日期：2026年10月8日。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[2] 李强：《政府工作报告——2026年3月5日在第十四届全国人民代表大会第四次会议上》，2026年3月5日，https://www.gov.cn/，访问日期：2026年10月8日。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[3] 国家发展和改革委员会：《“十五五”新图景：聚力“未来产业” 引领产业未来》，2026年4月1日，https://www.ndrc.gov.cn/xwdt/spfg/mtjj/202604/t20260401_1404454_ext.html，访问日期：2026年10月8日。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[4] 新华网：《新质生产力引领 科技创新擘画未来产业新蓝图》，2026年4月7日，http://www.xinhuanet.com/liangzi/20260407/a7127b46b81e4e4f9464cfe62db1ac0f/c.html，访问日期：2026年10月8日。</w:t>
      </w:r>
    </w:p>
    <w:p>
      <w:pPr>
        <w:spacing w:before="0" w:after="0" w:line="360" w:lineRule="auto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[5] 重庆日报：《人形机器人，从“会表演”加速迈向“能干活”》，2026年3月6日，https://www.cqrb.cn/shishi/2026-03-06/2588135_pc.html，访问日期：2026年10月8日。</w:t>
      </w:r>
    </w:p>
    <w:p>
      <w:pPr>
        <w:spacing w:before="240" w:after="120" w:line="360" w:lineRule="auto"/>
        <w:jc w:val="both"/>
      </w:pPr>
      <w:r>
        <w:rPr>
          <w:rFonts w:ascii="Times New Roman" w:hAnsi="Times New Roman" w:eastAsia="黑体" w:cs="Times New Roman"/>
          <w:sz w:val="32"/>
          <w:szCs w:val="32"/>
        </w:rPr>
        <w:t xml:space="preserve">生成式人工智能使用说明</w:t>
      </w:r>
    </w:p>
    <w:p>
      <w:pPr>
        <w:spacing w:before="0" w:after="0" w:line="360" w:lineRule="auto"/>
        <w:ind w:firstLineChars="200" w:firstLine="480"/>
        <w:jc w:val="both"/>
      </w:pPr>
      <w:r>
        <w:rPr>
          <w:rFonts w:ascii="Times New Roman" w:hAnsi="Times New Roman" w:eastAsia="宋体" w:cs="Times New Roman"/>
          <w:sz w:val="24"/>
          <w:szCs w:val="24"/>
        </w:rPr>
        <w:t xml:space="preserve">【请如实填写，例如：本人使用生成式人工智能辅助确定检索关键词、整理政策与数据材料、校对文字与格式；选题、分析、方案与价值判断由本人独立完成。】</w:t>
      </w:r>
    </w:p>
    <w:sectPr>
      <w:pgSz w:w="11906" w:h="16838"/>
      <w:pgMar w:top="1440" w:bottom="1440" w:left="1797" w:right="1797" w:header="851" w:footer="992" w:gutter="0"/>
      <w:footerReference w:type="default" r:id="rIdFooter1"/>
      <w:pgNumType w:fmt="decimal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 w:eastAsia="宋体"/>
        <w:sz w:val="18"/>
        <w:szCs w:val="18"/>
      </w:rPr>
      <w:fldChar w:fldCharType="begin"/>
    </w:r>
    <w:r>
      <w:rPr>
        <w:rFonts w:ascii="Times New Roman" w:hAnsi="Times New Roman" w:eastAsia="宋体"/>
        <w:sz w:val="18"/>
        <w:szCs w:val="18"/>
      </w:rPr>
      <w:instrText xml:space="preserve"> PAGE </w:instrText>
    </w:r>
    <w:r>
      <w:rPr>
        <w:rFonts w:ascii="Times New Roman" w:hAnsi="Times New Roman" w:eastAsia="宋体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Footer1" Type="http://schemas.openxmlformats.org/officeDocument/2006/relationships/footer" Target="footer1.xml"/><Relationship Id="rIdStyles" Type="http://schemas.openxmlformats.org/officeDocument/2006/relationships/styles" Target="styles.xml"/></Relationships>
</file>