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人形机器人从技术突破走向规模化应用面临的障碍研究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（【年级-专业班级-学号-姓名】）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摘要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聚焦人形机器人“技术突破”与“规模化应用”之间的落差，以“十五五”规划对具身智能的前瞻布局为政策坐标，综合政策文本、产业数据与典型案例，界定规模化应用在量产成本、场景渗透率、运行可靠性与标准完备度四个维度的衡量口径，梳理“技术已突破、规模未跟上”的具体表现，分析其在技术、产业、人才、制度与安全层面的主要制约，进而提出核心零部件国产化降本、仿真与真实场景数据闭环、行业标准与示范场景开放三项专业方案，并探讨机器人专业学生在创新与安全、个人与国家之间的责任担当。研究发现，人形机器人规模化应用的关键不在单点技术突破，而在于成本、可靠性与标准等系统性矛盾的协同破解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关键词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人形机器人；具身智能；未来产业；规模化应用；“十五五”规划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一、政策定位与问题提出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“十五五”规划纲要将“具身智能”列为前瞻布局的六大未来产业之一，与量子科技、生物制造、氢能和核聚变能、脑机接口、第六代移动通信（6G）并列，这是未来产业首次被明确纳入国家重大工程体系。2026年《政府工作报告》进一步提出“培育壮大新兴产业和未来产业……建立未来产业投入增长和风险分担机制，培育发展未来能源、量子科技、具身智能、脑机接口、6G等未来产业”，政策重心由此从“战略谋划”转向“投入增长＋风险分担”的制度保障。人形机器人被视为具身智能的核心形态、人工智能的物理载体，承载着以人机共融重构生产生活方式的发展预期。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以人形机器人为研究对象，时间范围聚焦“十五五”时期（2026—2030年），中心问题是：在技术突破已多有呈现的条件下，其规模化应用为何仍然受阻。为使问题可界定、可论证，本文以四个口径衡量“规模化应用”：一是量产成本，即单机成本是否下降到可被行业普遍接受的水平；二是场景渗透率，即是否从演示走向工厂、养老、服务等真实场景的稳定使用；三是运行可靠性，即长时间、多场景下的成功率与可维护性；四是标准完备度，即安全、互操作、测评等标准的成熟程度。凡技术可演示却未在上述四个口径达标者，均不能视为已实现规模化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二、现状与证据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从公开信息看，人形机器人呈现“技术突破频现、规模落地滞后”的明显落差，具体表现为“实验室强、场景弱”“演示多、量产少”。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在技术突破一侧，2026年北京亦庄人形机器人半程马拉松中，参赛机器人实现长距离稳定奔跑；江西南昌某工厂的人形机器人完成并线生产，单道工序约18秒、作业成功率98.5%以上。在场景落地一侧，优必选Walker S系列工业人形机器人在比亚迪、极氪等汽车工厂“成批上岗”，乐聚“夸父”进入养老院提供生活辅助、健康监测与情感陪护，但总体仍处于点状示范、尚未形成稳定渗透。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在产业与资本一侧，2026年前两个月具身智能机器人投资规模约为2025年全年的一半；国内人形机器人整机企业已超140家、发布产品超330款；“十五五”期间预计新增相关创新中心和实验室约100个、新培育专精特新企业近500家，新增数据采集员、机器人群体协同运营师等岗位超100万个；中国具身智能产业市场规模预计2030年达到4000亿元，相关产业整体规模预计增长10倍以上、突破数千亿乃至万亿元。上述数据表明：供给端的热度已充分释放，但需求端的规模化尚待兑现。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这种“技术可演示、规模未跟上”的落差提示我们：瓶颈不在“能否做出来”，而在“能否低成本、高可靠、可复制地做出来并卖出去”。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三、原因与矛盾分析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围绕规模化应用的四个衡量口径，本文筛选出以下主要制约。其中“通用性与可靠性不足、成本高企”构成主要矛盾，其余为结构性配套矛盾。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（一）通用性与可靠性不足，制约场景渗透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现有人形机器人多面向特定任务训练，跨场景泛化能力弱；长时间、非结构化环境下的稳定性不足，故障率与维护成本偏高，导致其难以从“演示达标”过渡到“持续上岗”。这是场景渗透率上不去的直接原因。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（二）核心零部件成本高、高端硬件依赖进口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减速器、伺服电机、灵巧手、高精度传感器等关键零部件成本占比高，部分高端环节仍依赖进口，直接推高单机成本，使量产失去经济可行性。成本约束与规模效应互为因果：量上不去、成本下不来，形成“越少越贵、越贵越少”的循环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（三）数据与场景供给不足，训练闭环难以建立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高质量真实场景数据稀缺、采集成本高，仿真与真实环境之间存在“Sim-to-Real”鸿沟；应用场景开放度低、示范场景不足，使算法迭代缺乏真实反馈，进一步延缓可靠性提升。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（四）标准与安全规范缺失、人才结构性缺口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人形机器人的安全、互操作、测评等标准尚不完善（2025年工业和信息化部方成立人形机器人与具身智能标准化技术委员会），合规与认证路径不清晰；同时既懂机器人本体、又懂人工智能与场景的复合型人才缺口明显，制约产品化与交付能力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四、专业解决方案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针对上述矛盾，本文提出三项专业对策，每项均明确实施主体、专业原理、实施步骤、条件、风险与预期效果。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（一）核心零部件国产化降本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【实施主体】主机厂联合减速器、伺服、灵巧手、传感器等零部件企业及科研院所。【专业原理】通过正向设计与工艺突破，降低高精度零部件的制造成本与对外依存度，配合规模化量产摊薄单位成本。【实施步骤】先聚焦高价值、高占比环节（减速器、灵巧手、力/视觉传感器）集中攻关，再逐步扩大国产化清单；同步建立零部件可靠性测试与寿命评估体系。【条件】持续的研发投入与稳定的市场需求预期。【风险】单一环节突破难以快速形成整机成本优势，国产化初期可靠性需以时间验证。【预期效果】单机成本显著下降，为规模化应用扫清成本障碍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（二）仿真与真实场景数据闭环（Sim-to-Real）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【实施主体】科研机构与主机厂共建仿真训练与数据平台。【专业原理】以高保真物理仿真环境（如Gazebo等）生成大规模、可标注训练数据，再以真实场景少量数据做迁移与校准，缩小仿真与真实的分布差距，加快算法迭代。【实施步骤】构建仿真—真实对齐的数字孪生环境；建立数据采集、标注、回灌的标准流程；以示范场景的真实运行数据持续反哺仿真模型。【条件】高保真仿真引擎、充足算力与标准化数据接口。【风险】仿真过度拟合、真实环境泛化不足，需以实测校准兜底。【预期效果】降低数据成本、加速可靠性收敛，提升跨场景泛化能力。</w:t>
      </w:r>
    </w:p>
    <w:p>
      <w:pPr>
        <w:spacing w:before="120" w:after="60" w:line="360" w:lineRule="auto"/>
        <w:jc w:val="both"/>
      </w:pPr>
      <w:r>
        <w:rPr>
          <w:rFonts w:ascii="Times New Roman" w:hAnsi="Times New Roman" w:eastAsia="黑体" w:cs="Times New Roman"/>
          <w:sz w:val="28"/>
          <w:szCs w:val="28"/>
        </w:rPr>
        <w:t xml:space="preserve">（三）行业标准、安全认证与示范场景开放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【实施主体】政府主管部门牵头，标准化机构、行业协会与龙头企业协同。【专业原理】以标准定门槛、以认证保安全、以场景促迭代，通过制度供给降低产业不确定性与试错成本。【实施步骤】加快制定安全、互操作、测评等标准；建立分级安全认证与责任界定机制；开放工厂、养老、公共服务等先导示范场景，形成可复制的商业模式。【条件】多方协同机制与稳定的政策预期。【风险】标准过早固化可能抑制技术演进，需保持标准的开放性。【预期效果】降低合规成本、明确安全边界，加速从示范走向规模化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五、价值判断与青年责任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【本部分需结合本人立场独立撰写，约200—300字，建议围绕以下关系展开并落点到机器人专业学生的具体责任。】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可展开的关系：（1）创新与安全——技术快速演进与安全底线、伦理约束如何平衡；（2）效率与公平——人形机器人替代部分岗位与就业结构调整的关系；（3）个人与国家——将个人专业选择融入国家未来产业布局（如国产替代、自主可控）。可落点的具体责任：技术报国与国产替代、守住安全与伦理底线、推动标准与行业生态建设等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六、结论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人形机器人已处于“技术突破—规模化应用”的关键拐点，其规模化受阻的根源不在单点技术，而在成本、可靠性、标准等系统性矛盾的叠加。破解之道在于：以核心零部件国产化降低成本，以仿真—真实数据闭环提升可靠性与泛化能力，以标准、认证与示范场景开放降低制度不确定性。对机器人专业学生而言，既要在专业上补齐核心技术短板，更要在价值上自觉把个人成长融入国家未来产业发展大局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参考文献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[1] 中华人民共和国全国人民代表大会：《中华人民共和国国民经济和社会发展第十五个五年规划纲要》，2026年3月12日通过，新华社2026年3月13日受权播发，https://www.gov.cn/，访问日期：2026年10月8日。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[2] 李强：《政府工作报告——2026年3月5日在第十四届全国人民代表大会第四次会议上》，2026年3月5日，https://www.gov.cn/，访问日期：2026年10月8日。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[3] 国家发展和改革委员会：《“十五五”新图景：聚力“未来产业” 引领产业未来》，2026年4月1日，https://www.ndrc.gov.cn/xwdt/spfg/mtjj/202604/t20260401_1404454_ext.html，访问日期：2026年10月8日。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[4] 新华网：《新质生产力引领 科技创新擘画未来产业新蓝图》，2026年4月7日，http://www.xinhuanet.com/liangzi/20260407/a7127b46b81e4e4f9464cfe62db1ac0f/c.html，访问日期：2026年10月8日。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[5] 新华社：《两会受权发布丨李强在政府工作报告中提出，加紧培育壮大新动能》，2026年3月5日，https://www.news.cn/politics/20260305/57f1b3e8186442c084eea71e35f3f9cd/c.html，访问日期：2026年10月8日。</w:t>
      </w:r>
    </w:p>
    <w:p>
      <w:pPr>
        <w:spacing w:before="240" w:after="120" w:line="360" w:lineRule="auto"/>
        <w:jc w:val="both"/>
      </w:pPr>
      <w:r>
        <w:rPr>
          <w:rFonts w:ascii="Times New Roman" w:hAnsi="Times New Roman" w:eastAsia="黑体" w:cs="Times New Roman"/>
          <w:sz w:val="32"/>
          <w:szCs w:val="32"/>
        </w:rPr>
        <w:t xml:space="preserve">生成式人工智能使用说明</w:t>
      </w:r>
    </w:p>
    <w:p>
      <w:pPr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【请如实填写，例如：本人使用生成式人工智能辅助确定检索关键词、整理政策与数据材料、校对文字与格式；选题、分析、方案与价值判断由本人独立完成。】</w:t>
      </w:r>
    </w:p>
    <w:sectPr>
      <w:pgSz w:w="11906" w:h="16838"/>
      <w:pgMar w:top="1440" w:bottom="1440" w:left="1797" w:right="1797" w:header="851" w:footer="992" w:gutter="0"/>
      <w:footerReference w:type="default" r:id="rIdFooter1"/>
      <w:pgNumType w:fmt="decimal"/>
    </w:sectPr>
  </w:body>
</w:document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Footer1" Type="http://schemas.openxmlformats.org/officeDocument/2006/relationships/footer" Target="footer1.xml"/><Relationship Id="rIdStyles" Type="http://schemas.openxmlformats.org/officeDocument/2006/relationships/styles" Target="styles.xml"/></Relationships>
</file>