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4E36E2" w:rsidP="00E57241">
      <w:pPr>
        <w:pStyle w:val="1"/>
        <w:ind w:firstLine="643"/>
      </w:pPr>
      <w:r>
        <w:rPr>
          <w:rFonts w:hint="eastAsia"/>
        </w:rPr>
        <w:t>1#</w:t>
      </w:r>
      <w:proofErr w:type="gramStart"/>
      <w:r>
        <w:rPr>
          <w:rFonts w:hint="eastAsia"/>
        </w:rPr>
        <w:t>机加池</w:t>
      </w:r>
      <w:r w:rsidR="00E57241" w:rsidRPr="00E57241">
        <w:rPr>
          <w:rFonts w:hint="eastAsia"/>
        </w:rPr>
        <w:t>维修</w:t>
      </w:r>
      <w:proofErr w:type="gramEnd"/>
      <w:r w:rsidR="00E57241" w:rsidRPr="00E57241">
        <w:rPr>
          <w:rFonts w:hint="eastAsia"/>
        </w:rPr>
        <w:t>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  <w:bookmarkStart w:id="0" w:name="_GoBack"/>
      <w:bookmarkEnd w:id="0"/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65#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66#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45#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14#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16#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15#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69#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68#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</w:tbl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</w:t>
      </w:r>
      <w:r w:rsidR="006D61F0">
        <w:rPr>
          <w:shd w:val="clear" w:color="auto" w:fill="FFFFFF"/>
        </w:rPr>
        <w:lastRenderedPageBreak/>
        <w:t>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D2B" w:rsidRDefault="002B3D2B" w:rsidP="00C360AA">
      <w:r>
        <w:separator/>
      </w:r>
    </w:p>
  </w:endnote>
  <w:endnote w:type="continuationSeparator" w:id="0">
    <w:p w:rsidR="002B3D2B" w:rsidRDefault="002B3D2B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D2B" w:rsidRDefault="002B3D2B" w:rsidP="00C360AA">
      <w:r>
        <w:separator/>
      </w:r>
    </w:p>
  </w:footnote>
  <w:footnote w:type="continuationSeparator" w:id="0">
    <w:p w:rsidR="002B3D2B" w:rsidRDefault="002B3D2B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32138"/>
    <w:rsid w:val="0019121D"/>
    <w:rsid w:val="002B3D2B"/>
    <w:rsid w:val="003875BD"/>
    <w:rsid w:val="004031C1"/>
    <w:rsid w:val="004E36E2"/>
    <w:rsid w:val="006D61F0"/>
    <w:rsid w:val="007C14BD"/>
    <w:rsid w:val="00C360AA"/>
    <w:rsid w:val="00C4774E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6</cp:revision>
  <dcterms:created xsi:type="dcterms:W3CDTF">2015-11-18T02:12:00Z</dcterms:created>
  <dcterms:modified xsi:type="dcterms:W3CDTF">2015-11-24T07:17:00Z</dcterms:modified>
</cp:coreProperties>
</file>