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某市政工程技术标</w:t>
      </w:r>
    </w:p>
    <w:p>
      <w:pPr>
        <w:pStyle w:val="Heading2"/>
      </w:pPr>
      <w:r>
        <w:t>公司简介</w:t>
      </w:r>
    </w:p>
    <w:p>
      <w:r>
        <w:t>我司成立于2010年，具有市政工程施工总承包壹级资质，建筑工程施工总承包壹级资质，装饰装修工程专业承包壹级资质。注册资金5000万元，员工260人，高级工程师35人。近五年完成市政及房建项目120余项，累计合同额超过15亿元。</w:t>
      </w:r>
    </w:p>
    <w:p>
      <w:pPr>
        <w:pStyle w:val="Heading2"/>
      </w:pPr>
      <w:r>
        <w:t>技术方案</w:t>
      </w:r>
    </w:p>
    <w:p>
      <w:r>
        <w:t>本项目采用BIM技术进行全过程管理。基坑支护采用SMW工法桩。主体结构采用现浇钢筋混凝土框架结构。装修工程采用绿色环保材料，满足国家节能标准。</w:t>
      </w:r>
    </w:p>
    <w:p>
      <w:pPr>
        <w:pStyle w:val="Heading2"/>
      </w:pPr>
      <w:r>
        <w:t>项目进度计划</w:t>
      </w:r>
    </w:p>
    <w:p>
      <w:r>
        <w:t>总工期180天。基础施工60天、主体施工80天、装修收尾40天。采用网络计划技术控制关键路径，配备专职进度管理人员。</w:t>
      </w:r>
    </w:p>
    <w:p>
      <w:pPr>
        <w:pStyle w:val="Heading2"/>
      </w:pPr>
      <w:r>
        <w:t>质量保证措施</w:t>
      </w:r>
    </w:p>
    <w:p>
      <w:r>
        <w:t>执行ISO9001质量管理体系，设置三级质量检验制度。关键工序实行旁站监理，隐蔽工程100%验收。材料进场检验率100%，不合格材料严禁使用。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