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jc w:val="center"/>
      </w:pPr>
      <w:r>
        <w:rPr>
          <w:rFonts w:ascii="微软雅黑" w:hAnsi="微软雅黑" w:eastAsia="微软雅黑"/>
          <w:b/>
          <w:sz w:val="36"/>
        </w:rPr>
        <w:t>说明书摘要</w:t>
      </w:r>
    </w:p>
    <w:p>
      <w:pPr>
        <w:spacing w:before="0" w:after="120" w:line="360" w:lineRule="auto"/>
        <w:ind w:firstLine="480"/>
      </w:pPr>
      <w:r>
        <w:rPr>
          <w:rFonts w:ascii="宋体" w:hAnsi="宋体" w:eastAsia="宋体"/>
          <w:sz w:val="24"/>
        </w:rPr>
        <w:t>本发明公开了一种基于压缩语义空间的卡牌游戏内容设计评估方法、系统、设备及存储介质，属于计算机辅助游戏内容设计和数字内容数据处理领域。该方法获取候选对象及包括目标卡组或可计算目标结构的上下文，将其归一化为效果单元并映射为成本向量、收益向量、状态亲和向量、角色标签和关系边；再生成卡组结构、曲线表示、压力匹配、结构缺口、候选差分贡献和风险表示，并输出候选排序及可审计报告。该方法用于提高异构游戏内容评估的一致性和可复核性。</w:t>
      </w:r>
    </w:p>
    <w:p>
      <w:pPr>
        <w:spacing w:before="0" w:after="120" w:line="360" w:lineRule="auto"/>
        <w:ind w:firstLine="480"/>
      </w:pPr>
      <w:r>
        <w:rPr>
          <w:rFonts w:ascii="宋体" w:hAnsi="宋体" w:eastAsia="宋体"/>
          <w:sz w:val="24"/>
        </w:rPr>
        <w:t>摘要附图：图1。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