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1DA3D9">
      <w:pPr>
        <w:spacing w:before="120" w:after="80"/>
        <w:jc w:val="center"/>
      </w:pPr>
      <w:r>
        <w:rPr>
          <w:rFonts w:ascii="微软雅黑" w:hAnsi="微软雅黑" w:eastAsia="微软雅黑"/>
          <w:b/>
          <w:i w:val="0"/>
          <w:color w:val="222222"/>
          <w:sz w:val="38"/>
        </w:rPr>
        <w:t>智能补货数据服务的估值与收益分配原型</w:t>
      </w:r>
    </w:p>
    <w:p w14:paraId="255F0B5C">
      <w:pPr>
        <w:spacing w:after="80"/>
        <w:jc w:val="center"/>
      </w:pPr>
      <w:r>
        <w:rPr>
          <w:rFonts w:ascii="宋体" w:hAnsi="宋体" w:eastAsia="宋体"/>
          <w:b w:val="0"/>
          <w:i w:val="0"/>
          <w:color w:val="4D4D4D"/>
          <w:sz w:val="22"/>
        </w:rPr>
        <w:t>方法说明</w:t>
      </w:r>
    </w:p>
    <w:p w14:paraId="3EEE05B6">
      <w:pPr>
        <w:pBdr>
          <w:bottom w:val="single" w:color="808080" w:sz="6" w:space="1"/>
        </w:pBdr>
        <w:spacing w:after="160"/>
      </w:pPr>
    </w:p>
    <w:p w14:paraId="3E42E5EF">
      <w:pPr>
        <w:spacing w:before="180" w:after="80"/>
      </w:pPr>
      <w:r>
        <w:rPr>
          <w:rFonts w:ascii="微软雅黑" w:hAnsi="微软雅黑" w:eastAsia="微软雅黑"/>
          <w:b/>
          <w:i w:val="0"/>
          <w:color w:val="222222"/>
          <w:sz w:val="26"/>
        </w:rPr>
        <w:t>1. 计算目标</w:t>
      </w:r>
    </w:p>
    <w:p w14:paraId="1998D0C7">
      <w:pPr>
        <w:spacing w:after="80" w:line="298" w:lineRule="auto"/>
      </w:pPr>
      <w:r>
        <w:rPr>
          <w:rFonts w:ascii="宋体" w:hAnsi="宋体" w:eastAsia="宋体"/>
          <w:b w:val="0"/>
          <w:i w:val="0"/>
          <w:sz w:val="21"/>
        </w:rPr>
        <w:t>本原型将业务改善、成本扣除和各方贡献放在同一计算链条中。它用于回答三个问题：补货服务的业务价值如何表达；哪些成本需要扣除；多方贡献如何形成初步分配比例。</w:t>
      </w:r>
    </w:p>
    <w:p w14:paraId="5F013032">
      <w:pPr>
        <w:spacing w:before="180" w:after="80"/>
      </w:pPr>
      <w:r>
        <w:rPr>
          <w:rFonts w:ascii="微软雅黑" w:hAnsi="微软雅黑" w:eastAsia="微软雅黑"/>
          <w:b/>
          <w:i w:val="0"/>
          <w:color w:val="222222"/>
          <w:sz w:val="26"/>
        </w:rPr>
        <w:t>2. 基础公式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0"/>
        <w:gridCol w:w="5100"/>
      </w:tblGrid>
      <w:tr w14:paraId="00C376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969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shd w:val="clear" w:color="auto" w:fill="E6E6E6"/>
            <w:vAlign w:val="center"/>
          </w:tcPr>
          <w:p w14:paraId="5401B2AB"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/>
                <w:b/>
                <w:i w:val="0"/>
                <w:sz w:val="18"/>
              </w:rPr>
              <w:t>公式</w:t>
            </w:r>
          </w:p>
        </w:tc>
        <w:tc>
          <w:tcPr>
            <w:tcW w:w="5103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shd w:val="clear" w:color="auto" w:fill="E6E6E6"/>
            <w:vAlign w:val="center"/>
          </w:tcPr>
          <w:p w14:paraId="140A98BF"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/>
                <w:b/>
                <w:i w:val="0"/>
                <w:sz w:val="18"/>
              </w:rPr>
              <w:t>含义</w:t>
            </w:r>
          </w:p>
        </w:tc>
      </w:tr>
      <w:tr w14:paraId="6049D7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969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3CF08A1A"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B = ΔGP + ΔIC + ΔWL + ΔLE</w:t>
            </w:r>
          </w:p>
        </w:tc>
        <w:tc>
          <w:tcPr>
            <w:tcW w:w="5103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3FADC27A"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场景总收益：新增毛利、库存/仓储节约、损耗/滞销减少、人工与协同节约。</w:t>
            </w:r>
          </w:p>
        </w:tc>
      </w:tr>
      <w:tr w14:paraId="695BC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969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1F3D45D8"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NB = B - C_service - C_compliance - C_infra</w:t>
            </w:r>
          </w:p>
        </w:tc>
        <w:tc>
          <w:tcPr>
            <w:tcW w:w="5103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179CD30D"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可分配净收益：扣除模型/实施/运维、合规审查/脱敏/授权、可信流通/接口/存证等成本。</w:t>
            </w:r>
          </w:p>
        </w:tc>
      </w:tr>
    </w:tbl>
    <w:p w14:paraId="1BF340C3">
      <w:pPr>
        <w:spacing w:after="20"/>
      </w:pPr>
    </w:p>
    <w:p w14:paraId="7139D75D">
      <w:pPr>
        <w:spacing w:after="80" w:line="298" w:lineRule="auto"/>
      </w:pPr>
      <w:r>
        <w:rPr>
          <w:rFonts w:ascii="宋体" w:hAnsi="宋体" w:eastAsia="宋体"/>
          <w:b w:val="0"/>
          <w:i w:val="0"/>
          <w:sz w:val="21"/>
        </w:rPr>
        <w:t>政策材料强调按照“谁投入、谁贡献、谁受益”探索收益分配；可信数据空间行动计划提出探索动态数据价值评估。[3][5]</w:t>
      </w:r>
    </w:p>
    <w:p w14:paraId="52ABAA77">
      <w:pPr>
        <w:jc w:val="center"/>
      </w:pPr>
      <w:r>
        <w:drawing>
          <wp:inline distT="0" distB="0" distL="114300" distR="114300">
            <wp:extent cx="5471795" cy="1447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rcRect t="14981" b="16980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32C3C">
      <w:pPr>
        <w:spacing w:after="80"/>
        <w:jc w:val="center"/>
      </w:pPr>
      <w:r>
        <w:rPr>
          <w:rFonts w:ascii="宋体" w:hAnsi="宋体" w:eastAsia="宋体"/>
          <w:b w:val="0"/>
          <w:i w:val="0"/>
          <w:color w:val="666666"/>
          <w:sz w:val="17"/>
        </w:rPr>
        <w:t>图 1  原型的计算顺序</w:t>
      </w:r>
    </w:p>
    <w:p w14:paraId="1D552789">
      <w:pPr>
        <w:spacing w:before="180" w:after="80"/>
      </w:pPr>
      <w:r>
        <w:rPr>
          <w:rFonts w:ascii="微软雅黑" w:hAnsi="微软雅黑" w:eastAsia="微软雅黑"/>
          <w:b/>
          <w:i w:val="0"/>
          <w:color w:val="222222"/>
          <w:sz w:val="26"/>
        </w:rPr>
        <w:t>3. 单月数值示例</w:t>
      </w:r>
    </w:p>
    <w:p w14:paraId="220014CC">
      <w:pPr>
        <w:spacing w:after="80" w:line="298" w:lineRule="auto"/>
      </w:pPr>
      <w:r>
        <w:rPr>
          <w:rFonts w:ascii="宋体" w:hAnsi="宋体" w:eastAsia="宋体"/>
          <w:b w:val="0"/>
          <w:i w:val="0"/>
          <w:sz w:val="21"/>
        </w:rPr>
        <w:t>示例对象为 100 家门店的连锁零售企业，使用全渠道智能补货服务一个月。所有金额均为演示参数。全球蛙案例中已披露销售、库存周转、库存成本和协同效率等业务结果，为变量选择提供案例依据。[6]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0"/>
        <w:gridCol w:w="3400"/>
        <w:gridCol w:w="3400"/>
      </w:tblGrid>
      <w:tr w14:paraId="19CA0D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shd w:val="clear" w:color="auto" w:fill="E6E6E6"/>
            <w:vAlign w:val="center"/>
          </w:tcPr>
          <w:p w14:paraId="6C28D6B2"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/>
                <w:b/>
                <w:i w:val="0"/>
                <w:sz w:val="17"/>
              </w:rPr>
              <w:t>变量</w:t>
            </w:r>
          </w:p>
        </w:tc>
        <w:tc>
          <w:tcPr>
            <w:tcW w:w="2041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shd w:val="clear" w:color="auto" w:fill="E6E6E6"/>
            <w:vAlign w:val="center"/>
          </w:tcPr>
          <w:p w14:paraId="4EFBEB7F"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/>
                <w:b/>
                <w:i w:val="0"/>
                <w:sz w:val="17"/>
              </w:rPr>
              <w:t>数值</w:t>
            </w:r>
          </w:p>
        </w:tc>
        <w:tc>
          <w:tcPr>
            <w:tcW w:w="4195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shd w:val="clear" w:color="auto" w:fill="E6E6E6"/>
            <w:vAlign w:val="center"/>
          </w:tcPr>
          <w:p w14:paraId="1BC4D2BB"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/>
                <w:b/>
                <w:i w:val="0"/>
                <w:sz w:val="17"/>
              </w:rPr>
              <w:t>计算或解释</w:t>
            </w:r>
          </w:p>
        </w:tc>
      </w:tr>
      <w:tr w14:paraId="233F19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618355B8"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月销售额基数</w:t>
            </w:r>
          </w:p>
        </w:tc>
        <w:tc>
          <w:tcPr>
            <w:tcW w:w="2041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7021815B"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3000 万元</w:t>
            </w:r>
          </w:p>
        </w:tc>
        <w:tc>
          <w:tcPr>
            <w:tcW w:w="4195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2F6966A5"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门店总销售</w:t>
            </w:r>
          </w:p>
        </w:tc>
      </w:tr>
      <w:tr w14:paraId="419439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3767D54F"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缺货率改善</w:t>
            </w:r>
          </w:p>
        </w:tc>
        <w:tc>
          <w:tcPr>
            <w:tcW w:w="2041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7B8D90FA"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3pct</w:t>
            </w:r>
          </w:p>
        </w:tc>
        <w:tc>
          <w:tcPr>
            <w:tcW w:w="4195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603DB391"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由预测和协同带来</w:t>
            </w:r>
          </w:p>
        </w:tc>
      </w:tr>
      <w:tr w14:paraId="55D199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4AA9EF6C"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恢复销售额</w:t>
            </w:r>
          </w:p>
        </w:tc>
        <w:tc>
          <w:tcPr>
            <w:tcW w:w="2041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436E3DE0"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90 万元</w:t>
            </w:r>
          </w:p>
        </w:tc>
        <w:tc>
          <w:tcPr>
            <w:tcW w:w="4195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66372C6A"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3000 万元 × 3%</w:t>
            </w:r>
          </w:p>
        </w:tc>
      </w:tr>
      <w:tr w14:paraId="3B3076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16CBB8A8"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平均毛利率</w:t>
            </w:r>
          </w:p>
        </w:tc>
        <w:tc>
          <w:tcPr>
            <w:tcW w:w="2041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192B5CE9"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22%</w:t>
            </w:r>
          </w:p>
        </w:tc>
        <w:tc>
          <w:tcPr>
            <w:tcW w:w="4195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55D54A0F"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研究假设</w:t>
            </w:r>
          </w:p>
        </w:tc>
      </w:tr>
      <w:tr w14:paraId="14CEF5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6A3D4484"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新增毛利 ΔGP</w:t>
            </w:r>
          </w:p>
        </w:tc>
        <w:tc>
          <w:tcPr>
            <w:tcW w:w="2041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0EA12231"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19.8 万元</w:t>
            </w:r>
          </w:p>
        </w:tc>
        <w:tc>
          <w:tcPr>
            <w:tcW w:w="4195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6C5811B7"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90 万元 × 22%</w:t>
            </w:r>
          </w:p>
        </w:tc>
      </w:tr>
      <w:tr w14:paraId="0A1438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62C45796"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平均库存下降</w:t>
            </w:r>
          </w:p>
        </w:tc>
        <w:tc>
          <w:tcPr>
            <w:tcW w:w="2041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409EEE51"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300 万元</w:t>
            </w:r>
          </w:p>
        </w:tc>
        <w:tc>
          <w:tcPr>
            <w:tcW w:w="4195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57FACBDA"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月度平均库存占用减少</w:t>
            </w:r>
          </w:p>
        </w:tc>
      </w:tr>
      <w:tr w14:paraId="1EEE97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4969AE5B"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年化资金/仓储成本率</w:t>
            </w:r>
          </w:p>
        </w:tc>
        <w:tc>
          <w:tcPr>
            <w:tcW w:w="2041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53AB100C"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10%</w:t>
            </w:r>
          </w:p>
        </w:tc>
        <w:tc>
          <w:tcPr>
            <w:tcW w:w="4195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7E8B5737"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研究假设</w:t>
            </w:r>
          </w:p>
        </w:tc>
      </w:tr>
      <w:tr w14:paraId="6A3888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7034D515"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库存成本节约 ΔIC</w:t>
            </w:r>
          </w:p>
        </w:tc>
        <w:tc>
          <w:tcPr>
            <w:tcW w:w="2041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50168587"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2.5 万元</w:t>
            </w:r>
          </w:p>
        </w:tc>
        <w:tc>
          <w:tcPr>
            <w:tcW w:w="4195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6AEED6B9"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300 万元 × 10% ÷ 12</w:t>
            </w:r>
          </w:p>
        </w:tc>
      </w:tr>
      <w:tr w14:paraId="36C59B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79BA8496"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损耗/滞销减少 ΔWL</w:t>
            </w:r>
          </w:p>
        </w:tc>
        <w:tc>
          <w:tcPr>
            <w:tcW w:w="2041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3E05628C"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7 万元</w:t>
            </w:r>
          </w:p>
        </w:tc>
        <w:tc>
          <w:tcPr>
            <w:tcW w:w="4195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1FCBE76A"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研究假设</w:t>
            </w:r>
          </w:p>
        </w:tc>
      </w:tr>
      <w:tr w14:paraId="46BD63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73C71A78"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人工与协同节约 ΔLE</w:t>
            </w:r>
          </w:p>
        </w:tc>
        <w:tc>
          <w:tcPr>
            <w:tcW w:w="2041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4DA9E473"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3.5 万元</w:t>
            </w:r>
          </w:p>
        </w:tc>
        <w:tc>
          <w:tcPr>
            <w:tcW w:w="4195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36F3F0E8"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研究假设</w:t>
            </w:r>
          </w:p>
        </w:tc>
      </w:tr>
      <w:tr w14:paraId="351E9D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500B70AD"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场景总收益 B</w:t>
            </w:r>
          </w:p>
        </w:tc>
        <w:tc>
          <w:tcPr>
            <w:tcW w:w="2041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02A2408E"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32.8 万元</w:t>
            </w:r>
          </w:p>
        </w:tc>
        <w:tc>
          <w:tcPr>
            <w:tcW w:w="4195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077A17D9"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四项收益之和</w:t>
            </w:r>
          </w:p>
        </w:tc>
      </w:tr>
      <w:tr w14:paraId="1699B6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1169DEB2"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服务、合规与基础设施成本</w:t>
            </w:r>
          </w:p>
        </w:tc>
        <w:tc>
          <w:tcPr>
            <w:tcW w:w="2041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37F87C4D"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11 万元</w:t>
            </w:r>
          </w:p>
        </w:tc>
        <w:tc>
          <w:tcPr>
            <w:tcW w:w="4195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206041FB"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演示成本</w:t>
            </w:r>
          </w:p>
        </w:tc>
      </w:tr>
      <w:tr w14:paraId="30E6DD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6854A3BC"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可分配净收益 NB</w:t>
            </w:r>
          </w:p>
        </w:tc>
        <w:tc>
          <w:tcPr>
            <w:tcW w:w="2041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15F6A579"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21.8 万元</w:t>
            </w:r>
          </w:p>
        </w:tc>
        <w:tc>
          <w:tcPr>
            <w:tcW w:w="4195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5FC5363E"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32.8 万元 - 11 万元</w:t>
            </w:r>
          </w:p>
        </w:tc>
      </w:tr>
    </w:tbl>
    <w:p w14:paraId="10C09A42">
      <w:pPr>
        <w:spacing w:after="20"/>
      </w:pPr>
    </w:p>
    <w:p w14:paraId="1F30ACCC">
      <w:pPr>
        <w:spacing w:before="180" w:after="80"/>
      </w:pPr>
      <w:r>
        <w:rPr>
          <w:rFonts w:ascii="微软雅黑" w:hAnsi="微软雅黑" w:eastAsia="微软雅黑"/>
          <w:b/>
          <w:i w:val="0"/>
          <w:color w:val="222222"/>
          <w:sz w:val="26"/>
        </w:rPr>
        <w:t>4. 初始分配框架</w:t>
      </w:r>
    </w:p>
    <w:p w14:paraId="7CFF22E4">
      <w:pPr>
        <w:spacing w:after="80" w:line="298" w:lineRule="auto"/>
      </w:pPr>
      <w:r>
        <w:rPr>
          <w:rFonts w:ascii="宋体" w:hAnsi="宋体" w:eastAsia="宋体"/>
          <w:b w:val="0"/>
          <w:i w:val="0"/>
          <w:sz w:val="21"/>
        </w:rPr>
        <w:t>原型暂按五项贡献变量讨论分配：数据来源、治理加工、模型能力、场景落地和可信基础设施。一级权重暂设为 30%、20%、20%、20% 和 10%。这些权重不是行业标准。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7"/>
        <w:gridCol w:w="1457"/>
        <w:gridCol w:w="1457"/>
        <w:gridCol w:w="1457"/>
        <w:gridCol w:w="1457"/>
        <w:gridCol w:w="1457"/>
        <w:gridCol w:w="1457"/>
      </w:tblGrid>
      <w:tr w14:paraId="68C982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shd w:val="clear" w:color="auto" w:fill="E6E6E6"/>
            <w:vAlign w:val="center"/>
          </w:tcPr>
          <w:p w14:paraId="0CAAC377"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/>
                <w:b/>
                <w:i w:val="0"/>
                <w:sz w:val="17"/>
              </w:rPr>
              <w:t>参与方</w:t>
            </w:r>
          </w:p>
        </w:tc>
        <w:tc>
          <w:tcPr>
            <w:tcW w:w="1134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shd w:val="clear" w:color="auto" w:fill="E6E6E6"/>
            <w:vAlign w:val="center"/>
          </w:tcPr>
          <w:p w14:paraId="450E4704"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/>
                <w:b/>
                <w:i w:val="0"/>
                <w:sz w:val="17"/>
              </w:rPr>
              <w:t>来源</w:t>
            </w:r>
          </w:p>
        </w:tc>
        <w:tc>
          <w:tcPr>
            <w:tcW w:w="1134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shd w:val="clear" w:color="auto" w:fill="E6E6E6"/>
            <w:vAlign w:val="center"/>
          </w:tcPr>
          <w:p w14:paraId="12CF8F71"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/>
                <w:b/>
                <w:i w:val="0"/>
                <w:sz w:val="17"/>
              </w:rPr>
              <w:t>治理</w:t>
            </w:r>
          </w:p>
        </w:tc>
        <w:tc>
          <w:tcPr>
            <w:tcW w:w="1134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shd w:val="clear" w:color="auto" w:fill="E6E6E6"/>
            <w:vAlign w:val="center"/>
          </w:tcPr>
          <w:p w14:paraId="108E8016"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/>
                <w:b/>
                <w:i w:val="0"/>
                <w:sz w:val="17"/>
              </w:rPr>
              <w:t>模型</w:t>
            </w:r>
          </w:p>
        </w:tc>
        <w:tc>
          <w:tcPr>
            <w:tcW w:w="1134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shd w:val="clear" w:color="auto" w:fill="E6E6E6"/>
            <w:vAlign w:val="center"/>
          </w:tcPr>
          <w:p w14:paraId="6E8135D8"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/>
                <w:b/>
                <w:i w:val="0"/>
                <w:sz w:val="17"/>
              </w:rPr>
              <w:t>场景</w:t>
            </w:r>
          </w:p>
        </w:tc>
        <w:tc>
          <w:tcPr>
            <w:tcW w:w="1134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shd w:val="clear" w:color="auto" w:fill="E6E6E6"/>
            <w:vAlign w:val="center"/>
          </w:tcPr>
          <w:p w14:paraId="4D4EA762"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/>
                <w:b/>
                <w:i w:val="0"/>
                <w:sz w:val="17"/>
              </w:rPr>
              <w:t>信任</w:t>
            </w:r>
          </w:p>
        </w:tc>
        <w:tc>
          <w:tcPr>
            <w:tcW w:w="1304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shd w:val="clear" w:color="auto" w:fill="E6E6E6"/>
            <w:vAlign w:val="center"/>
          </w:tcPr>
          <w:p w14:paraId="5AD807C1"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/>
                <w:b/>
                <w:i w:val="0"/>
                <w:sz w:val="17"/>
              </w:rPr>
              <w:t>综合份额</w:t>
            </w:r>
          </w:p>
        </w:tc>
      </w:tr>
      <w:tr w14:paraId="0B7692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6E07225D"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零售商</w:t>
            </w:r>
          </w:p>
        </w:tc>
        <w:tc>
          <w:tcPr>
            <w:tcW w:w="1134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139EFB44"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45%</w:t>
            </w:r>
          </w:p>
        </w:tc>
        <w:tc>
          <w:tcPr>
            <w:tcW w:w="1134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1DBF6D33"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20%</w:t>
            </w:r>
          </w:p>
        </w:tc>
        <w:tc>
          <w:tcPr>
            <w:tcW w:w="1134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0EEB74F5"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10%</w:t>
            </w:r>
          </w:p>
        </w:tc>
        <w:tc>
          <w:tcPr>
            <w:tcW w:w="1134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6E3036C1"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55%</w:t>
            </w:r>
          </w:p>
        </w:tc>
        <w:tc>
          <w:tcPr>
            <w:tcW w:w="1134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52C8D466"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15%</w:t>
            </w:r>
          </w:p>
        </w:tc>
        <w:tc>
          <w:tcPr>
            <w:tcW w:w="1304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52E3964D"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32.0%</w:t>
            </w:r>
          </w:p>
        </w:tc>
      </w:tr>
      <w:tr w14:paraId="3DA672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53F89E79"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供应商</w:t>
            </w:r>
          </w:p>
        </w:tc>
        <w:tc>
          <w:tcPr>
            <w:tcW w:w="1134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233E38E2"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25%</w:t>
            </w:r>
          </w:p>
        </w:tc>
        <w:tc>
          <w:tcPr>
            <w:tcW w:w="1134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1897F661"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10%</w:t>
            </w:r>
          </w:p>
        </w:tc>
        <w:tc>
          <w:tcPr>
            <w:tcW w:w="1134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136BB369"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5%</w:t>
            </w:r>
          </w:p>
        </w:tc>
        <w:tc>
          <w:tcPr>
            <w:tcW w:w="1134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56685C7E"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15%</w:t>
            </w:r>
          </w:p>
        </w:tc>
        <w:tc>
          <w:tcPr>
            <w:tcW w:w="1134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3D042BEB"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10%</w:t>
            </w:r>
          </w:p>
        </w:tc>
        <w:tc>
          <w:tcPr>
            <w:tcW w:w="1304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3E5076EB"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14.5%</w:t>
            </w:r>
          </w:p>
        </w:tc>
      </w:tr>
      <w:tr w14:paraId="4D8584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67AB7315"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平台/数商</w:t>
            </w:r>
          </w:p>
        </w:tc>
        <w:tc>
          <w:tcPr>
            <w:tcW w:w="1134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0BFF3B61"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20%</w:t>
            </w:r>
          </w:p>
        </w:tc>
        <w:tc>
          <w:tcPr>
            <w:tcW w:w="1134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1D8C04A7"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55%</w:t>
            </w:r>
          </w:p>
        </w:tc>
        <w:tc>
          <w:tcPr>
            <w:tcW w:w="1134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7AF219DB"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70%</w:t>
            </w:r>
          </w:p>
        </w:tc>
        <w:tc>
          <w:tcPr>
            <w:tcW w:w="1134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7B3B52E3"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20%</w:t>
            </w:r>
          </w:p>
        </w:tc>
        <w:tc>
          <w:tcPr>
            <w:tcW w:w="1134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4A830AB9"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25%</w:t>
            </w:r>
          </w:p>
        </w:tc>
        <w:tc>
          <w:tcPr>
            <w:tcW w:w="1304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162B5402"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37.5%</w:t>
            </w:r>
          </w:p>
        </w:tc>
      </w:tr>
      <w:tr w14:paraId="3CF858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49CCACFF"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可信流通/基础设施方</w:t>
            </w:r>
          </w:p>
        </w:tc>
        <w:tc>
          <w:tcPr>
            <w:tcW w:w="1134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1A6EFF52"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10%</w:t>
            </w:r>
          </w:p>
        </w:tc>
        <w:tc>
          <w:tcPr>
            <w:tcW w:w="1134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38228A68"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15%</w:t>
            </w:r>
          </w:p>
        </w:tc>
        <w:tc>
          <w:tcPr>
            <w:tcW w:w="1134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65B56C6C"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15%</w:t>
            </w:r>
          </w:p>
        </w:tc>
        <w:tc>
          <w:tcPr>
            <w:tcW w:w="1134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75779F77"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10%</w:t>
            </w:r>
          </w:p>
        </w:tc>
        <w:tc>
          <w:tcPr>
            <w:tcW w:w="1134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3E4C6A44"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50%</w:t>
            </w:r>
          </w:p>
        </w:tc>
        <w:tc>
          <w:tcPr>
            <w:tcW w:w="1304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4D6D273E"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16.0%</w:t>
            </w:r>
          </w:p>
        </w:tc>
      </w:tr>
    </w:tbl>
    <w:p w14:paraId="5EADE757">
      <w:pPr>
        <w:spacing w:after="20"/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0"/>
        <w:gridCol w:w="2550"/>
        <w:gridCol w:w="2550"/>
        <w:gridCol w:w="2550"/>
      </w:tblGrid>
      <w:tr w14:paraId="719A85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4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shd w:val="clear" w:color="auto" w:fill="E6E6E6"/>
            <w:vAlign w:val="center"/>
          </w:tcPr>
          <w:p w14:paraId="4673E8A7"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/>
                <w:b/>
                <w:i w:val="0"/>
                <w:sz w:val="17"/>
              </w:rPr>
              <w:t>参与方</w:t>
            </w:r>
          </w:p>
        </w:tc>
        <w:tc>
          <w:tcPr>
            <w:tcW w:w="1474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shd w:val="clear" w:color="auto" w:fill="E6E6E6"/>
            <w:vAlign w:val="center"/>
          </w:tcPr>
          <w:p w14:paraId="5DEAA96E"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/>
                <w:b/>
                <w:i w:val="0"/>
                <w:sz w:val="17"/>
              </w:rPr>
              <w:t>分配比例</w:t>
            </w:r>
          </w:p>
        </w:tc>
        <w:tc>
          <w:tcPr>
            <w:tcW w:w="2494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shd w:val="clear" w:color="auto" w:fill="E6E6E6"/>
            <w:vAlign w:val="center"/>
          </w:tcPr>
          <w:p w14:paraId="5F9D1552"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/>
                <w:b/>
                <w:i w:val="0"/>
                <w:sz w:val="17"/>
              </w:rPr>
              <w:t>以 NB=21.8 万元计算</w:t>
            </w:r>
          </w:p>
        </w:tc>
        <w:tc>
          <w:tcPr>
            <w:tcW w:w="3969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shd w:val="clear" w:color="auto" w:fill="E6E6E6"/>
            <w:vAlign w:val="center"/>
          </w:tcPr>
          <w:p w14:paraId="17EA4653"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/>
                <w:b/>
                <w:i w:val="0"/>
                <w:sz w:val="17"/>
              </w:rPr>
              <w:t>说明</w:t>
            </w:r>
          </w:p>
        </w:tc>
      </w:tr>
      <w:tr w14:paraId="4DEFDA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4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7F2F7DA9"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零售商</w:t>
            </w:r>
          </w:p>
        </w:tc>
        <w:tc>
          <w:tcPr>
            <w:tcW w:w="1474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2F15EA59"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32.0%</w:t>
            </w:r>
          </w:p>
        </w:tc>
        <w:tc>
          <w:tcPr>
            <w:tcW w:w="2494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38CD49C5"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6.98 万元</w:t>
            </w:r>
          </w:p>
        </w:tc>
        <w:tc>
          <w:tcPr>
            <w:tcW w:w="3969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7A7D02F9"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提供订单、库存和业务落地场景</w:t>
            </w:r>
          </w:p>
        </w:tc>
      </w:tr>
      <w:tr w14:paraId="75079C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4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2E376486"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供应商</w:t>
            </w:r>
          </w:p>
        </w:tc>
        <w:tc>
          <w:tcPr>
            <w:tcW w:w="1474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0E4A0FA2"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14.5%</w:t>
            </w:r>
          </w:p>
        </w:tc>
        <w:tc>
          <w:tcPr>
            <w:tcW w:w="2494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064FBC12"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3.16 万元</w:t>
            </w:r>
          </w:p>
        </w:tc>
        <w:tc>
          <w:tcPr>
            <w:tcW w:w="3969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457E55B4"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提供供给、价格、促销和协同信息</w:t>
            </w:r>
          </w:p>
        </w:tc>
      </w:tr>
      <w:tr w14:paraId="375134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4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4734F78C"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平台/数商</w:t>
            </w:r>
          </w:p>
        </w:tc>
        <w:tc>
          <w:tcPr>
            <w:tcW w:w="1474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511B0BA8"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37.5%</w:t>
            </w:r>
          </w:p>
        </w:tc>
        <w:tc>
          <w:tcPr>
            <w:tcW w:w="2494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667B201A"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8.18 万元</w:t>
            </w:r>
          </w:p>
        </w:tc>
        <w:tc>
          <w:tcPr>
            <w:tcW w:w="3969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2D750DE0"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承担治理、建模、产品化和运维</w:t>
            </w:r>
          </w:p>
        </w:tc>
      </w:tr>
      <w:tr w14:paraId="01B97A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4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0C796E93"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基础设施方</w:t>
            </w:r>
          </w:p>
        </w:tc>
        <w:tc>
          <w:tcPr>
            <w:tcW w:w="1474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5DD1F2E0"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16.0%</w:t>
            </w:r>
          </w:p>
        </w:tc>
        <w:tc>
          <w:tcPr>
            <w:tcW w:w="2494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7E771AFC"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3.49 万元</w:t>
            </w:r>
          </w:p>
        </w:tc>
        <w:tc>
          <w:tcPr>
            <w:tcW w:w="3969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1BB02715"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承担可信流通、接口、审计或存证</w:t>
            </w:r>
          </w:p>
        </w:tc>
      </w:tr>
    </w:tbl>
    <w:p w14:paraId="32DB2ECA">
      <w:pPr>
        <w:spacing w:after="20"/>
      </w:pPr>
    </w:p>
    <w:p w14:paraId="4DA18992">
      <w:pPr>
        <w:spacing w:before="180" w:after="80"/>
      </w:pPr>
      <w:r>
        <w:rPr>
          <w:rFonts w:ascii="微软雅黑" w:hAnsi="微软雅黑" w:eastAsia="微软雅黑"/>
          <w:b/>
          <w:i w:val="0"/>
          <w:color w:val="222222"/>
          <w:sz w:val="26"/>
        </w:rPr>
        <w:t>5. 局限与第三周校准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0"/>
        <w:gridCol w:w="3400"/>
        <w:gridCol w:w="3400"/>
      </w:tblGrid>
      <w:tr w14:paraId="36018C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24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shd w:val="clear" w:color="auto" w:fill="E6E6E6"/>
            <w:vAlign w:val="center"/>
          </w:tcPr>
          <w:p w14:paraId="54AE5C62"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/>
                <w:b/>
                <w:i w:val="0"/>
                <w:sz w:val="18"/>
              </w:rPr>
              <w:t>需要验证的内容</w:t>
            </w:r>
          </w:p>
        </w:tc>
        <w:tc>
          <w:tcPr>
            <w:tcW w:w="2948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shd w:val="clear" w:color="auto" w:fill="E6E6E6"/>
            <w:vAlign w:val="center"/>
          </w:tcPr>
          <w:p w14:paraId="5A96CCA4"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/>
                <w:b/>
                <w:i w:val="0"/>
                <w:sz w:val="18"/>
              </w:rPr>
              <w:t>目前情况</w:t>
            </w:r>
          </w:p>
        </w:tc>
        <w:tc>
          <w:tcPr>
            <w:tcW w:w="4819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shd w:val="clear" w:color="auto" w:fill="E6E6E6"/>
            <w:vAlign w:val="center"/>
          </w:tcPr>
          <w:p w14:paraId="3E5FD073"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/>
                <w:b/>
                <w:i w:val="0"/>
                <w:sz w:val="18"/>
              </w:rPr>
              <w:t>下一步材料</w:t>
            </w:r>
          </w:p>
        </w:tc>
      </w:tr>
      <w:tr w14:paraId="4A9C4E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24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4FD5EF89"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服务计费口径</w:t>
            </w:r>
          </w:p>
        </w:tc>
        <w:tc>
          <w:tcPr>
            <w:tcW w:w="2948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6FEE4B4A"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公开价格较少</w:t>
            </w:r>
          </w:p>
        </w:tc>
        <w:tc>
          <w:tcPr>
            <w:tcW w:w="4819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416C7E0D"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报价页、招投标或合同样本</w:t>
            </w:r>
          </w:p>
        </w:tc>
      </w:tr>
      <w:tr w14:paraId="4AA47E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24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1DAADDE4"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经营参数</w:t>
            </w:r>
          </w:p>
        </w:tc>
        <w:tc>
          <w:tcPr>
            <w:tcW w:w="2948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3FE2616B"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部分为演示数值</w:t>
            </w:r>
          </w:p>
        </w:tc>
        <w:tc>
          <w:tcPr>
            <w:tcW w:w="4819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00303EDC"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毛利率、库存成本、缺货率、损耗率资料</w:t>
            </w:r>
          </w:p>
        </w:tc>
      </w:tr>
      <w:tr w14:paraId="060CBF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24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51E16A5F"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分配权重</w:t>
            </w:r>
          </w:p>
        </w:tc>
        <w:tc>
          <w:tcPr>
            <w:tcW w:w="2948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518AE7B6"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研究假设</w:t>
            </w:r>
          </w:p>
        </w:tc>
        <w:tc>
          <w:tcPr>
            <w:tcW w:w="4819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01765BE7"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行业访谈或专家评分</w:t>
            </w:r>
          </w:p>
        </w:tc>
      </w:tr>
      <w:tr w14:paraId="5DDFAA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24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1B5A82CE"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收益归因</w:t>
            </w:r>
          </w:p>
        </w:tc>
        <w:tc>
          <w:tcPr>
            <w:tcW w:w="2948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49C6D9CF"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需要界定具体场景</w:t>
            </w:r>
          </w:p>
        </w:tc>
        <w:tc>
          <w:tcPr>
            <w:tcW w:w="4819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2BD539F2"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明确指标口径、时间窗口和审计方式</w:t>
            </w:r>
          </w:p>
        </w:tc>
      </w:tr>
    </w:tbl>
    <w:p w14:paraId="4BB419E6">
      <w:pPr>
        <w:spacing w:after="20"/>
      </w:pPr>
    </w:p>
    <w:p w14:paraId="53F6ABF1">
      <w:pPr>
        <w:spacing w:after="20"/>
      </w:pPr>
      <w:bookmarkStart w:id="0" w:name="_GoBack"/>
      <w:bookmarkEnd w:id="0"/>
    </w:p>
    <w:p w14:paraId="69C6CDE0">
      <w:pPr>
        <w:spacing w:before="180" w:after="80"/>
      </w:pPr>
      <w:r>
        <w:rPr>
          <w:rFonts w:ascii="微软雅黑" w:hAnsi="微软雅黑" w:eastAsia="微软雅黑"/>
          <w:b/>
          <w:i w:val="0"/>
          <w:color w:val="222222"/>
          <w:sz w:val="26"/>
        </w:rPr>
        <w:t>参考资料</w:t>
      </w:r>
    </w:p>
    <w:p w14:paraId="73C04B64">
      <w:pPr>
        <w:spacing w:after="80" w:line="298" w:lineRule="auto"/>
      </w:pPr>
      <w:r>
        <w:rPr>
          <w:rFonts w:ascii="宋体" w:hAnsi="宋体" w:eastAsia="宋体"/>
          <w:b w:val="0"/>
          <w:i w:val="0"/>
          <w:sz w:val="21"/>
        </w:rPr>
        <w:t>[2] 《中共中央 国务院关于构建数据基础制度更好发挥数据要素作用的意见》（“数据二十条”）。</w:t>
      </w:r>
    </w:p>
    <w:p w14:paraId="3F63C7FF">
      <w:pPr>
        <w:spacing w:after="80" w:line="298" w:lineRule="auto"/>
      </w:pPr>
      <w:r>
        <w:rPr>
          <w:rFonts w:ascii="宋体" w:hAnsi="宋体" w:eastAsia="宋体"/>
          <w:b w:val="0"/>
          <w:i w:val="0"/>
          <w:sz w:val="21"/>
        </w:rPr>
        <w:t>[3] 财政部：《关于加强数据资产管理的指导意见》。</w:t>
      </w:r>
    </w:p>
    <w:p w14:paraId="50877254">
      <w:pPr>
        <w:spacing w:after="80" w:line="298" w:lineRule="auto"/>
      </w:pPr>
      <w:r>
        <w:rPr>
          <w:rFonts w:ascii="宋体" w:hAnsi="宋体" w:eastAsia="宋体"/>
          <w:b w:val="0"/>
          <w:i w:val="0"/>
          <w:sz w:val="21"/>
        </w:rPr>
        <w:t>[5] 国家数据局：《可信数据空间发展行动计划（2024-2028年）》。</w:t>
      </w:r>
    </w:p>
    <w:p w14:paraId="16FBB592">
      <w:pPr>
        <w:spacing w:after="80" w:line="298" w:lineRule="auto"/>
      </w:pPr>
      <w:r>
        <w:rPr>
          <w:rFonts w:ascii="宋体" w:hAnsi="宋体" w:eastAsia="宋体"/>
          <w:b w:val="0"/>
          <w:i w:val="0"/>
          <w:sz w:val="21"/>
        </w:rPr>
        <w:t>[6] 国家数据局：第二批“数据要素×”典型案例之六——海量消费数据赋能传统零售业转型升级（全球蛙）。</w:t>
      </w:r>
    </w:p>
    <w:p w14:paraId="7CDA7F02">
      <w:pPr>
        <w:spacing w:after="80" w:line="298" w:lineRule="auto"/>
      </w:pPr>
      <w:r>
        <w:rPr>
          <w:rFonts w:ascii="宋体" w:hAnsi="宋体" w:eastAsia="宋体"/>
          <w:b w:val="0"/>
          <w:i w:val="0"/>
          <w:sz w:val="21"/>
        </w:rPr>
        <w:t>[9] 《中华人民共和国个人信息保护法》。</w:t>
      </w:r>
    </w:p>
    <w:sectPr>
      <w:headerReference r:id="rId5" w:type="default"/>
      <w:footerReference r:id="rId6" w:type="default"/>
      <w:pgSz w:w="12240" w:h="15840"/>
      <w:pgMar w:top="964" w:right="1020" w:bottom="850" w:left="102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DACA55">
    <w:pPr>
      <w:pStyle w:val="24"/>
      <w:jc w:val="center"/>
    </w:pPr>
    <w:r>
      <w:rPr>
        <w:rFonts w:ascii="宋体" w:hAnsi="宋体" w:eastAsia="宋体"/>
        <w:b w:val="0"/>
        <w:i w:val="0"/>
        <w:color w:val="6B6B6B"/>
        <w:sz w:val="16"/>
      </w:rPr>
      <w:t>刘子豪  |  2026-06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2266F6">
    <w:pPr>
      <w:pStyle w:val="25"/>
      <w:spacing w:after="0"/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E3E13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276" w:lineRule="auto"/>
    </w:pPr>
    <w:rPr>
      <w:rFonts w:ascii="宋体" w:hAnsi="宋体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1187</Words>
  <Characters>1409</Characters>
  <Lines>0</Lines>
  <Paragraphs>0</Paragraphs>
  <TotalTime>1</TotalTime>
  <ScaleCrop>false</ScaleCrop>
  <LinksUpToDate>false</LinksUpToDate>
  <CharactersWithSpaces>1481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Brain</cp:lastModifiedBy>
  <dcterms:modified xsi:type="dcterms:W3CDTF">2026-06-28T07:46:11Z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eyJoZGlkIjoiMzhiZDYwNzk2MTc1NjA1ODE5ZDY5NjJiMTBiNmUwZGUiLCJ1c2VySWQiOiIyNDg4ODgyNjYifQ==</vt:lpwstr>
  </property>
  <property fmtid="{D5CDD505-2E9C-101B-9397-08002B2CF9AE}" pid="3" name="KSOProductBuildVer">
    <vt:lpwstr>2052-12.1.0.26895</vt:lpwstr>
  </property>
  <property fmtid="{D5CDD505-2E9C-101B-9397-08002B2CF9AE}" pid="4" name="ICV">
    <vt:lpwstr>24CC1E3FD4CD4A8DA358A28AC4E1400F_12</vt:lpwstr>
  </property>
</Properties>
</file>