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1798F">
      <w:pPr>
        <w:spacing w:before="120" w:after="80"/>
        <w:jc w:val="center"/>
      </w:pPr>
      <w:r>
        <w:rPr>
          <w:rFonts w:ascii="微软雅黑" w:hAnsi="微软雅黑" w:eastAsia="微软雅黑"/>
          <w:b/>
          <w:i w:val="0"/>
          <w:color w:val="222222"/>
          <w:sz w:val="38"/>
        </w:rPr>
        <w:t>第二周研究摘要</w:t>
      </w:r>
    </w:p>
    <w:p w14:paraId="6239D2A4">
      <w:pPr>
        <w:spacing w:after="80"/>
        <w:jc w:val="center"/>
      </w:pPr>
      <w:r>
        <w:rPr>
          <w:rFonts w:ascii="宋体" w:hAnsi="宋体" w:eastAsia="宋体"/>
          <w:b w:val="0"/>
          <w:i w:val="0"/>
          <w:color w:val="4D4D4D"/>
          <w:sz w:val="22"/>
        </w:rPr>
        <w:t>零售行业数据资产估值与收益分配研究——以全渠道智能补货为例</w:t>
      </w:r>
    </w:p>
    <w:p w14:paraId="0AC59070">
      <w:pPr>
        <w:spacing w:after="240"/>
        <w:jc w:val="center"/>
      </w:pPr>
      <w:bookmarkStart w:id="0" w:name="_GoBack"/>
      <w:bookmarkEnd w:id="0"/>
      <w:r>
        <w:rPr>
          <w:rFonts w:ascii="宋体" w:hAnsi="宋体" w:eastAsia="宋体"/>
          <w:b w:val="0"/>
          <w:i w:val="0"/>
          <w:color w:val="666666"/>
          <w:sz w:val="18"/>
        </w:rPr>
        <w:t>作者：刘子豪</w:t>
      </w:r>
    </w:p>
    <w:p w14:paraId="20DFCF36">
      <w:pPr>
        <w:pBdr>
          <w:bottom w:val="single" w:color="808080" w:sz="6" w:space="1"/>
        </w:pBdr>
        <w:spacing w:after="160"/>
      </w:pPr>
    </w:p>
    <w:p w14:paraId="308E834C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1. 本周完成内容</w:t>
      </w:r>
    </w:p>
    <w:p w14:paraId="02825837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本周围绕全渠道智能补货场景整理了数据资产类型、参与主体、案例证据、收费逻辑和估值原型。研究材料以公开政策、国家数据局案例和工程论文为主，未将未公开的价格或分成比例写成事实。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8AC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69D8F35B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材料</w:t>
            </w:r>
          </w:p>
        </w:tc>
        <w:tc>
          <w:tcPr>
            <w:tcW w:w="41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2A9E680E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28CF694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用途</w:t>
            </w:r>
          </w:p>
        </w:tc>
      </w:tr>
      <w:tr w14:paraId="219B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9A8A12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案例资料</w:t>
            </w:r>
          </w:p>
        </w:tc>
        <w:tc>
          <w:tcPr>
            <w:tcW w:w="41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D1B048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全球蛙、瓴羊、京东库存配置三个案例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3E9CA8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说明数据产品形态、业务成效与证据边界</w:t>
            </w:r>
          </w:p>
        </w:tc>
      </w:tr>
      <w:tr w14:paraId="1D03B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652E67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证据库</w:t>
            </w:r>
          </w:p>
        </w:tc>
        <w:tc>
          <w:tcPr>
            <w:tcW w:w="41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96F931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政策、案例、指标、结论核验四类条目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AD9164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为第三周报告写作提供来源追溯</w:t>
            </w:r>
          </w:p>
        </w:tc>
      </w:tr>
      <w:tr w14:paraId="1980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521395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估值原型</w:t>
            </w:r>
          </w:p>
        </w:tc>
        <w:tc>
          <w:tcPr>
            <w:tcW w:w="41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62722F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业务收益、成本扣除和贡献分配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250C6F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说明智能补货服务的估值计算结构</w:t>
            </w:r>
          </w:p>
        </w:tc>
      </w:tr>
    </w:tbl>
    <w:p w14:paraId="4EF2AEE3">
      <w:pPr>
        <w:spacing w:after="20"/>
      </w:pPr>
    </w:p>
    <w:p w14:paraId="3C699B00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2. 阶段性结论</w:t>
      </w:r>
    </w:p>
    <w:p w14:paraId="652474B6">
      <w:pPr>
        <w:pStyle w:val="16"/>
        <w:spacing w:after="40" w:line="276" w:lineRule="auto"/>
      </w:pPr>
      <w:r>
        <w:rPr>
          <w:rFonts w:ascii="宋体" w:hAnsi="宋体" w:eastAsia="宋体"/>
          <w:b w:val="0"/>
          <w:i w:val="0"/>
          <w:sz w:val="20"/>
        </w:rPr>
        <w:t>智能补货的可估值对象应理解为“经授权和治理后的数据服务”，而不是原始个人信息或单一数据表。</w:t>
      </w:r>
    </w:p>
    <w:p w14:paraId="6406EA05">
      <w:pPr>
        <w:pStyle w:val="16"/>
        <w:spacing w:after="40" w:line="276" w:lineRule="auto"/>
      </w:pPr>
      <w:r>
        <w:rPr>
          <w:rFonts w:ascii="宋体" w:hAnsi="宋体" w:eastAsia="宋体"/>
          <w:b w:val="0"/>
          <w:i w:val="0"/>
          <w:sz w:val="20"/>
        </w:rPr>
        <w:t>公开案例对业务成效的披露通常多于合同价格披露。当前阶段可先以收费方式、服务范围和业务结果作为估值输入；具体报价仍需补证。</w:t>
      </w:r>
    </w:p>
    <w:p w14:paraId="65E5E779">
      <w:pPr>
        <w:pStyle w:val="16"/>
        <w:spacing w:after="40" w:line="276" w:lineRule="auto"/>
      </w:pPr>
      <w:r>
        <w:rPr>
          <w:rFonts w:ascii="宋体" w:hAnsi="宋体" w:eastAsia="宋体"/>
          <w:b w:val="0"/>
          <w:i w:val="0"/>
          <w:sz w:val="20"/>
        </w:rPr>
        <w:t>多方参与时，收益分配可以按数据来源、治理加工、模型能力、业务落地和可信基础设施等贡献项讨论。比例仅作为研究假设，后续需要合同或访谈校准。</w:t>
      </w:r>
    </w:p>
    <w:p w14:paraId="671FABF8">
      <w:pPr>
        <w:spacing w:before="180" w:after="8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222222"/>
          <w:sz w:val="26"/>
        </w:rPr>
        <w:t xml:space="preserve">3. </w:t>
      </w:r>
      <w:r>
        <w:rPr>
          <w:rFonts w:hint="eastAsia" w:ascii="微软雅黑" w:hAnsi="微软雅黑" w:eastAsia="微软雅黑"/>
          <w:b/>
          <w:i w:val="0"/>
          <w:color w:val="222222"/>
          <w:sz w:val="26"/>
          <w:lang w:val="en-US" w:eastAsia="zh-CN"/>
        </w:rPr>
        <w:t>待补证问题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</w:tblGrid>
      <w:tr w14:paraId="790B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0611EC76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待补证问题</w:t>
            </w:r>
          </w:p>
        </w:tc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023146C7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预期材料</w:t>
            </w:r>
          </w:p>
        </w:tc>
      </w:tr>
      <w:tr w14:paraId="6F99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DA04AE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智能补货服务的计费单位</w:t>
            </w:r>
          </w:p>
        </w:tc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CAA88A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报价页、招投标公告或合同样本</w:t>
            </w:r>
          </w:p>
        </w:tc>
      </w:tr>
      <w:tr w14:paraId="4ACD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40BB77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毛利率、缺货率、库存持有成本和损耗率</w:t>
            </w:r>
          </w:p>
        </w:tc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E4D728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行业报告、企业年报或访谈资料</w:t>
            </w:r>
          </w:p>
        </w:tc>
      </w:tr>
      <w:tr w14:paraId="096A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50F07B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分配权重的合理性</w:t>
            </w:r>
          </w:p>
        </w:tc>
        <w:tc>
          <w:tcPr>
            <w:tcW w:w="34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C74528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2-3 位行业人士或专家的访谈记录</w:t>
            </w:r>
          </w:p>
        </w:tc>
      </w:tr>
    </w:tbl>
    <w:p w14:paraId="1F2ED4B8">
      <w:pPr>
        <w:spacing w:after="20"/>
      </w:pPr>
    </w:p>
    <w:p w14:paraId="7F4E9BAC">
      <w:pPr>
        <w:spacing w:before="100" w:after="0"/>
        <w:jc w:val="left"/>
      </w:pPr>
      <w:r>
        <w:rPr>
          <w:rFonts w:ascii="宋体" w:hAnsi="宋体" w:eastAsia="宋体"/>
          <w:sz w:val="18"/>
        </w:rPr>
        <w:t>主要依据：数据二十条；财政部《关于加强数据资产管理的指导意见》；国家数据局全球蛙案例。</w:t>
      </w:r>
    </w:p>
    <w:sectPr>
      <w:headerReference r:id="rId5" w:type="default"/>
      <w:footerReference r:id="rId6" w:type="default"/>
      <w:pgSz w:w="12240" w:h="15840"/>
      <w:pgMar w:top="964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CE9A5">
    <w:pPr>
      <w:pStyle w:val="24"/>
      <w:jc w:val="center"/>
    </w:pPr>
    <w:r>
      <w:rPr>
        <w:rFonts w:ascii="宋体" w:hAnsi="宋体" w:eastAsia="宋体"/>
        <w:b w:val="0"/>
        <w:i w:val="0"/>
        <w:color w:val="6B6B6B"/>
        <w:sz w:val="16"/>
      </w:rPr>
      <w:t>刘子豪  |  2026-06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14538">
    <w:pPr>
      <w:pStyle w:val="25"/>
      <w:spacing w:after="0"/>
      <w:jc w:val="right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613B53"/>
    <w:rsid w:val="50DC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648</Words>
  <Characters>656</Characters>
  <Lines>0</Lines>
  <Paragraphs>0</Paragraphs>
  <TotalTime>3</TotalTime>
  <ScaleCrop>false</ScaleCrop>
  <LinksUpToDate>false</LinksUpToDate>
  <CharactersWithSpaces>664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Brain</cp:lastModifiedBy>
  <dcterms:modified xsi:type="dcterms:W3CDTF">2026-06-28T07:46:39Z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eyJoZGlkIjoiMzhiZDYwNzk2MTc1NjA1ODE5ZDY5NjJiMTBiNmUwZGUiLCJ1c2VySWQiOiIyNDg4ODgyNjYifQ==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4E9646B49D144FF88C2A771483522302_12</vt:lpwstr>
  </property>
</Properties>
</file>